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640" w:lineRule="exact"/>
        <w:jc w:val="both"/>
        <w:rPr>
          <w:rFonts w:ascii="仿宋_GB2312" w:hAnsi="仿宋" w:eastAsia="仿宋_GB2312"/>
          <w:sz w:val="32"/>
          <w:szCs w:val="32"/>
        </w:rPr>
      </w:pPr>
      <w:r>
        <w:rPr>
          <w:rFonts w:hint="eastAsia" w:ascii="仿宋_GB2312" w:hAnsi="仿宋" w:eastAsia="仿宋_GB2312"/>
          <w:sz w:val="32"/>
          <w:szCs w:val="32"/>
        </w:rPr>
        <w:t>附件</w:t>
      </w:r>
    </w:p>
    <w:p>
      <w:pPr>
        <w:pStyle w:val="2"/>
        <w:widowControl w:val="0"/>
        <w:spacing w:before="0" w:beforeAutospacing="0" w:after="0" w:afterAutospacing="0" w:line="640" w:lineRule="exact"/>
        <w:jc w:val="center"/>
        <w:rPr>
          <w:rFonts w:ascii="黑体" w:hAnsi="黑体" w:eastAsia="黑体" w:cs="黑体"/>
          <w:sz w:val="44"/>
          <w:szCs w:val="44"/>
        </w:rPr>
      </w:pPr>
      <w:r>
        <w:rPr>
          <w:rFonts w:hint="eastAsia" w:ascii="黑体" w:hAnsi="黑体" w:eastAsia="黑体" w:cs="黑体"/>
          <w:sz w:val="44"/>
          <w:szCs w:val="44"/>
        </w:rPr>
        <w:t>《四川省房屋建筑和市政基础设施工程招标投标活动投诉处理办法</w:t>
      </w:r>
    </w:p>
    <w:p>
      <w:pPr>
        <w:jc w:val="center"/>
        <w:rPr>
          <w:rFonts w:ascii="黑体" w:hAnsi="黑体" w:eastAsia="黑体" w:cs="黑体"/>
          <w:sz w:val="44"/>
          <w:szCs w:val="48"/>
        </w:rPr>
      </w:pPr>
      <w:r>
        <w:rPr>
          <w:rFonts w:hint="eastAsia" w:ascii="黑体" w:hAnsi="黑体" w:eastAsia="黑体" w:cs="黑体"/>
          <w:sz w:val="44"/>
          <w:szCs w:val="48"/>
        </w:rPr>
        <w:t>（修订）》</w:t>
      </w:r>
      <w:r>
        <w:rPr>
          <w:rFonts w:hint="eastAsia" w:ascii="黑体" w:hAnsi="黑体" w:eastAsia="黑体" w:cs="黑体"/>
          <w:sz w:val="44"/>
          <w:szCs w:val="44"/>
        </w:rPr>
        <w:t>（</w:t>
      </w:r>
      <w:r>
        <w:rPr>
          <w:rFonts w:hint="eastAsia" w:ascii="黑体" w:hAnsi="黑体" w:eastAsia="黑体" w:cs="黑体"/>
          <w:sz w:val="44"/>
          <w:szCs w:val="48"/>
        </w:rPr>
        <w:t>征求意见稿）</w:t>
      </w:r>
    </w:p>
    <w:p>
      <w:pPr>
        <w:pStyle w:val="2"/>
        <w:widowControl w:val="0"/>
        <w:spacing w:before="0" w:beforeAutospacing="0" w:after="0" w:afterAutospacing="0" w:line="640" w:lineRule="exact"/>
        <w:jc w:val="both"/>
        <w:rPr>
          <w:rFonts w:ascii="仿宋_GB2312" w:hAnsi="仿宋" w:eastAsia="仿宋_GB2312"/>
          <w:sz w:val="32"/>
          <w:szCs w:val="32"/>
        </w:rPr>
      </w:pPr>
      <w:bookmarkStart w:id="0" w:name="_GoBack"/>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4"/>
        <w:gridCol w:w="561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vAlign w:val="center"/>
          </w:tcPr>
          <w:p>
            <w:pPr>
              <w:jc w:val="center"/>
              <w:rPr>
                <w:b/>
                <w:bCs/>
              </w:rPr>
            </w:pPr>
            <w:r>
              <w:rPr>
                <w:rFonts w:hint="eastAsia"/>
                <w:b/>
                <w:bCs/>
                <w:sz w:val="28"/>
                <w:szCs w:val="28"/>
              </w:rPr>
              <w:t>现行规定</w:t>
            </w:r>
          </w:p>
        </w:tc>
        <w:tc>
          <w:tcPr>
            <w:tcW w:w="5610" w:type="dxa"/>
            <w:vAlign w:val="center"/>
          </w:tcPr>
          <w:p>
            <w:pPr>
              <w:jc w:val="center"/>
              <w:rPr>
                <w:b/>
                <w:bCs/>
                <w:sz w:val="28"/>
                <w:szCs w:val="28"/>
              </w:rPr>
            </w:pPr>
            <w:r>
              <w:rPr>
                <w:rFonts w:hint="eastAsia"/>
                <w:b/>
                <w:bCs/>
                <w:sz w:val="28"/>
                <w:szCs w:val="28"/>
              </w:rPr>
              <w:t>拟修订规定</w:t>
            </w:r>
          </w:p>
          <w:p>
            <w:pPr>
              <w:jc w:val="center"/>
              <w:rPr>
                <w:b/>
                <w:bCs/>
              </w:rPr>
            </w:pPr>
            <w:r>
              <w:rPr>
                <w:rFonts w:hint="eastAsia"/>
                <w:b/>
                <w:bCs/>
                <w:sz w:val="24"/>
                <w:szCs w:val="24"/>
              </w:rPr>
              <w:t>（黑体字内容为拟增加内容，方框内容为删除内容）</w:t>
            </w:r>
          </w:p>
        </w:tc>
        <w:tc>
          <w:tcPr>
            <w:tcW w:w="2104" w:type="dxa"/>
            <w:vAlign w:val="center"/>
          </w:tcPr>
          <w:p>
            <w:pPr>
              <w:jc w:val="center"/>
              <w:rPr>
                <w:b/>
                <w:bCs/>
              </w:rPr>
            </w:pPr>
            <w:r>
              <w:rPr>
                <w:rFonts w:hint="eastAsia"/>
                <w:b/>
                <w:bCs/>
                <w:sz w:val="28"/>
                <w:szCs w:val="28"/>
              </w:rPr>
              <w:t>修订理由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一条【目的和依据】为加强房屋建筑和市政基础设施工程招标投标活动投诉处理的管理，规范投诉处理的行为，根据《中华人民共和国招标投标法》、《中华人民共和国招标投标法实施条例》、《四川省国家投资工程建设项目招标投标条例》、《工程建设项目招标投标活动投诉处理办法》（国家发展和改革委员会等七部委令第11号）等有关法律、法规、规章，结合四川省实际，制定本办法。</w:t>
            </w:r>
          </w:p>
        </w:tc>
        <w:tc>
          <w:tcPr>
            <w:tcW w:w="5610" w:type="dxa"/>
          </w:tcPr>
          <w:p>
            <w:pPr>
              <w:ind w:firstLine="420" w:firstLineChars="200"/>
            </w:pPr>
            <w:r>
              <w:rPr>
                <w:rFonts w:hint="eastAsia"/>
              </w:rPr>
              <w:t>第一条【目的和依据】为加强房屋建筑和市政基础设施工程招标投标活动投诉处理的管理，规范投诉处理的行为，根据《中华人民共和国招标投标法》、《中华人民共和国招标投标法实施条例》、《四川省国家投资工程建设项目招标投标条例》、《工程建设项目招标投标活动投诉处理办法》（国家发展和改革委员会等七部委令第11号）等有关法律、法规、规章，结合四川省实际，制定本办法。</w:t>
            </w:r>
          </w:p>
        </w:tc>
        <w:tc>
          <w:tcPr>
            <w:tcW w:w="2104" w:type="dxa"/>
          </w:tcPr>
          <w:p/>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bottom w:val="single" w:color="auto" w:sz="4" w:space="0"/>
            </w:tcBorders>
          </w:tcPr>
          <w:p>
            <w:pPr>
              <w:ind w:firstLine="420" w:firstLineChars="200"/>
            </w:pPr>
            <w:r>
              <w:rPr>
                <w:rFonts w:hint="eastAsia"/>
              </w:rPr>
              <w:t>第二条【适用范围】本办法适用于在四川省行政区域内的房屋建筑和市政基础设施工程招标投标活动的投诉及其处理活动。</w:t>
            </w:r>
          </w:p>
          <w:p>
            <w:pPr>
              <w:ind w:firstLine="420" w:firstLineChars="200"/>
            </w:pPr>
            <w:r>
              <w:rPr>
                <w:rFonts w:hint="eastAsia"/>
              </w:rPr>
              <w:t>前款所称招标投标活动，包括招标、投标、开标、评标、中标以及签订合同等各阶段。</w:t>
            </w:r>
          </w:p>
        </w:tc>
        <w:tc>
          <w:tcPr>
            <w:tcW w:w="5610" w:type="dxa"/>
            <w:tcBorders>
              <w:bottom w:val="single" w:color="auto" w:sz="4" w:space="0"/>
            </w:tcBorders>
          </w:tcPr>
          <w:p>
            <w:pPr>
              <w:ind w:firstLine="420" w:firstLineChars="200"/>
            </w:pPr>
            <w:r>
              <w:rPr>
                <w:rFonts w:hint="eastAsia"/>
              </w:rPr>
              <w:t>第二条【适用范围】本办法适用于在四川省行政区域内的房屋建筑和市政基础设施工程招标投标活动的投诉及其处理活动。</w:t>
            </w:r>
          </w:p>
          <w:p>
            <w:pPr>
              <w:ind w:firstLine="420" w:firstLineChars="200"/>
            </w:pPr>
            <w:r>
              <w:rPr>
                <w:rFonts w:hint="eastAsia"/>
              </w:rPr>
              <w:t>前款所称招标投标活动，包括招标、投标、开标、评标、中标以及签订合同等各阶段。</w:t>
            </w:r>
          </w:p>
        </w:tc>
        <w:tc>
          <w:tcPr>
            <w:tcW w:w="2104"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single" w:color="auto" w:sz="4" w:space="0"/>
              <w:left w:val="single" w:color="auto" w:sz="4" w:space="0"/>
              <w:bottom w:val="single" w:color="auto" w:sz="4" w:space="0"/>
            </w:tcBorders>
          </w:tcPr>
          <w:p>
            <w:pPr>
              <w:ind w:firstLine="420" w:firstLineChars="200"/>
            </w:pPr>
            <w:r>
              <w:rPr>
                <w:rFonts w:hint="eastAsia"/>
              </w:rPr>
              <w:t>第三条【职责分工】住房城乡建设厅负责全省房屋建筑和市政基础设施工程招标投标活动投诉的监督管理，具体工作由省建设工程招标投标管理总站组织实施。</w:t>
            </w:r>
          </w:p>
          <w:p>
            <w:pPr>
              <w:ind w:firstLine="420" w:firstLineChars="200"/>
            </w:pPr>
            <w:r>
              <w:rPr>
                <w:rFonts w:hint="eastAsia"/>
              </w:rPr>
              <w:t>招标投标活动投诉的受理和处理，按照项目的隶属关系和投资额度分级进行。</w:t>
            </w:r>
          </w:p>
          <w:p>
            <w:pPr>
              <w:ind w:firstLine="420" w:firstLineChars="200"/>
            </w:pPr>
            <w:r>
              <w:rPr>
                <w:rFonts w:hint="eastAsia"/>
              </w:rPr>
              <w:t>国务院有关部门审批或核准的项目，省级投资主管部门审批或核准的省本级项目和总投资在3000万元人民币以上（含3000万元）、打捆审批项目中的单个项目总投资在1000万元人民币以上（含1000万元）的项目，其招标投标活动投诉的受理和处理，由住房城乡建设厅负责。</w:t>
            </w:r>
          </w:p>
          <w:p>
            <w:pPr>
              <w:ind w:firstLine="420" w:firstLineChars="200"/>
            </w:pPr>
            <w:r>
              <w:rPr>
                <w:rFonts w:hint="eastAsia"/>
              </w:rPr>
              <w:t>市（州）投资主管部门审批或核准的项目，省级投资主管部门审批或核准的项目（省本级除外）总投资在3000万元人民币以下（不含3000万元）、打捆审批项目中的单个项目总投资在1000万元人民币以下（不含1000万元）的项目，其招标投标活动投诉的受理和处理，由市（州）住房城乡建设行政主管部门负责。</w:t>
            </w:r>
          </w:p>
          <w:p>
            <w:pPr>
              <w:ind w:firstLine="420" w:firstLineChars="200"/>
            </w:pPr>
            <w:r>
              <w:rPr>
                <w:rFonts w:hint="eastAsia"/>
              </w:rPr>
              <w:t>县（市、区）项目审批部门审批或核准的项目，其招标投标活动投诉的受理和处理，由县（市、区）住房城乡建设行政主管部门负责。</w:t>
            </w:r>
          </w:p>
        </w:tc>
        <w:tc>
          <w:tcPr>
            <w:tcW w:w="5610" w:type="dxa"/>
            <w:tcBorders>
              <w:top w:val="single" w:color="auto" w:sz="4" w:space="0"/>
              <w:bottom w:val="single" w:color="auto" w:sz="4" w:space="0"/>
            </w:tcBorders>
          </w:tcPr>
          <w:p>
            <w:pPr>
              <w:ind w:firstLine="420" w:firstLineChars="200"/>
              <w:rPr>
                <w:strike/>
                <w:color w:val="FF0000"/>
              </w:rPr>
            </w:pPr>
            <w:r>
              <w:rPr>
                <w:rFonts w:hint="eastAsia"/>
              </w:rPr>
              <w:t>第三条</w:t>
            </w:r>
            <w:r>
              <w:rPr>
                <w:rFonts w:hint="eastAsia"/>
                <w:color w:val="FF0000"/>
                <w:bdr w:val="single" w:color="auto" w:sz="4" w:space="0"/>
              </w:rPr>
              <w:t>【职责分工】</w:t>
            </w:r>
            <w:r>
              <w:rPr>
                <w:rFonts w:hint="eastAsia"/>
                <w:b/>
                <w:bCs/>
              </w:rPr>
              <w:t>【项目分级监督</w:t>
            </w:r>
            <w:r>
              <w:rPr>
                <w:rFonts w:hint="eastAsia"/>
              </w:rPr>
              <w:t>】</w:t>
            </w:r>
            <w:r>
              <w:rPr>
                <w:rFonts w:hint="eastAsia"/>
                <w:color w:val="FF0000"/>
                <w:bdr w:val="single" w:color="auto" w:sz="4" w:space="0"/>
              </w:rPr>
              <w:t>住房城乡建设厅负责全省房屋建筑和市政基础设施工程招标投标活动投诉的监督管理，具体工作由省建设工程招标投标管理总站组织实施。</w:t>
            </w:r>
          </w:p>
          <w:p>
            <w:pPr>
              <w:ind w:firstLine="420" w:firstLineChars="200"/>
            </w:pPr>
            <w:r>
              <w:rPr>
                <w:rFonts w:hint="eastAsia"/>
              </w:rPr>
              <w:t>招标投标活动投诉的受理和处理，按照项目的隶属关系和投资额度分级进行。</w:t>
            </w:r>
          </w:p>
          <w:p>
            <w:pPr>
              <w:ind w:firstLine="420" w:firstLineChars="200"/>
            </w:pPr>
            <w:r>
              <w:rPr>
                <w:rFonts w:hint="eastAsia"/>
              </w:rPr>
              <w:t>国务院有关部门审批</w:t>
            </w:r>
            <w:r>
              <w:rPr>
                <w:rFonts w:hint="eastAsia"/>
                <w:color w:val="FF0000"/>
                <w:bdr w:val="single" w:color="auto" w:sz="4" w:space="0"/>
              </w:rPr>
              <w:t>或核准</w:t>
            </w:r>
            <w:r>
              <w:rPr>
                <w:rFonts w:hint="eastAsia"/>
                <w:b/>
                <w:bCs/>
              </w:rPr>
              <w:t>（核准、备案）</w:t>
            </w:r>
            <w:r>
              <w:rPr>
                <w:rFonts w:hint="eastAsia"/>
              </w:rPr>
              <w:t>的项目，省级投资主管部门审批</w:t>
            </w:r>
            <w:r>
              <w:rPr>
                <w:rFonts w:hint="eastAsia"/>
                <w:color w:val="FF0000"/>
                <w:bdr w:val="single" w:color="auto" w:sz="4" w:space="0"/>
              </w:rPr>
              <w:t>或核准</w:t>
            </w:r>
            <w:r>
              <w:rPr>
                <w:rFonts w:hint="eastAsia"/>
                <w:b/>
                <w:bCs/>
              </w:rPr>
              <w:t>（核准、备案）</w:t>
            </w:r>
            <w:r>
              <w:rPr>
                <w:rFonts w:hint="eastAsia"/>
              </w:rPr>
              <w:t>的省本级项目和总投资在3000万元人民币以上（含3000万元）、打捆审批</w:t>
            </w:r>
            <w:r>
              <w:rPr>
                <w:rFonts w:hint="eastAsia"/>
                <w:color w:val="FF0000"/>
                <w:bdr w:val="single" w:color="auto" w:sz="4" w:space="0"/>
              </w:rPr>
              <w:t>或核准</w:t>
            </w:r>
            <w:r>
              <w:rPr>
                <w:rFonts w:hint="eastAsia"/>
                <w:b/>
                <w:bCs/>
              </w:rPr>
              <w:t>（核准、备案）</w:t>
            </w:r>
            <w:r>
              <w:rPr>
                <w:rFonts w:hint="eastAsia"/>
              </w:rPr>
              <w:t>项目中的单个项目总投资在1000万元人民币以上（含1000万元）的项目，其招标投标活动投诉的受理和处理，由</w:t>
            </w:r>
            <w:r>
              <w:rPr>
                <w:rFonts w:hint="eastAsia"/>
                <w:color w:val="FF0000"/>
                <w:bdr w:val="single" w:color="auto" w:sz="4" w:space="0"/>
              </w:rPr>
              <w:t>住房城乡建设厅</w:t>
            </w:r>
            <w:r>
              <w:rPr>
                <w:rFonts w:hint="eastAsia"/>
                <w:b/>
                <w:bCs/>
              </w:rPr>
              <w:t>省级行政监督部门</w:t>
            </w:r>
            <w:r>
              <w:rPr>
                <w:rFonts w:hint="eastAsia"/>
              </w:rPr>
              <w:t>负责。</w:t>
            </w:r>
          </w:p>
          <w:p>
            <w:pPr>
              <w:ind w:firstLine="420" w:firstLineChars="200"/>
            </w:pPr>
            <w:r>
              <w:rPr>
                <w:rFonts w:hint="eastAsia"/>
              </w:rPr>
              <w:t>市（州）投资主管部门审批</w:t>
            </w:r>
            <w:r>
              <w:rPr>
                <w:rFonts w:hint="eastAsia"/>
                <w:color w:val="FF0000"/>
                <w:bdr w:val="single" w:color="auto" w:sz="4" w:space="0"/>
              </w:rPr>
              <w:t>或核准</w:t>
            </w:r>
            <w:r>
              <w:rPr>
                <w:rFonts w:hint="eastAsia"/>
                <w:b/>
                <w:bCs/>
              </w:rPr>
              <w:t>（核准、备案）</w:t>
            </w:r>
            <w:r>
              <w:rPr>
                <w:rFonts w:hint="eastAsia"/>
              </w:rPr>
              <w:t>的项目，省级投资主管部门审批</w:t>
            </w:r>
            <w:r>
              <w:rPr>
                <w:rFonts w:hint="eastAsia"/>
                <w:color w:val="FF0000"/>
                <w:bdr w:val="single" w:color="auto" w:sz="4" w:space="0"/>
              </w:rPr>
              <w:t>或核准</w:t>
            </w:r>
            <w:r>
              <w:rPr>
                <w:rFonts w:hint="eastAsia"/>
                <w:b/>
                <w:bCs/>
              </w:rPr>
              <w:t>（核准、备案）</w:t>
            </w:r>
            <w:r>
              <w:rPr>
                <w:rFonts w:hint="eastAsia"/>
              </w:rPr>
              <w:t>的项目（省本级除外）总投资在3000万元人民币以下（不含3000万元）、打捆审批</w:t>
            </w:r>
            <w:r>
              <w:rPr>
                <w:rFonts w:hint="eastAsia"/>
                <w:color w:val="FF0000"/>
                <w:bdr w:val="single" w:color="auto" w:sz="4" w:space="0"/>
              </w:rPr>
              <w:t>或核准</w:t>
            </w:r>
            <w:r>
              <w:rPr>
                <w:rFonts w:hint="eastAsia"/>
                <w:b/>
                <w:bCs/>
              </w:rPr>
              <w:t>（核准、备案）</w:t>
            </w:r>
            <w:r>
              <w:rPr>
                <w:rFonts w:hint="eastAsia"/>
              </w:rPr>
              <w:t>项目中的单个项目总投资在1000万元人民币以下（不含1000万元）的项目，其招标投标活动投诉的受理和处理，由市（州）</w:t>
            </w:r>
            <w:r>
              <w:rPr>
                <w:rFonts w:hint="eastAsia"/>
                <w:color w:val="FF0000"/>
                <w:bdr w:val="single" w:color="auto" w:sz="4" w:space="0"/>
              </w:rPr>
              <w:t>住房城乡建设行政主管</w:t>
            </w:r>
            <w:r>
              <w:rPr>
                <w:rFonts w:hint="eastAsia"/>
                <w:b/>
                <w:bCs/>
              </w:rPr>
              <w:t>行政监督</w:t>
            </w:r>
            <w:r>
              <w:rPr>
                <w:rFonts w:hint="eastAsia"/>
              </w:rPr>
              <w:t>部门负责。</w:t>
            </w:r>
          </w:p>
          <w:p>
            <w:pPr>
              <w:ind w:firstLine="420" w:firstLineChars="200"/>
            </w:pPr>
            <w:r>
              <w:rPr>
                <w:rFonts w:hint="eastAsia"/>
              </w:rPr>
              <w:t>县（市、区）项目审批部门审批</w:t>
            </w:r>
            <w:r>
              <w:rPr>
                <w:rFonts w:hint="eastAsia"/>
                <w:color w:val="FF0000"/>
                <w:bdr w:val="single" w:color="auto" w:sz="4" w:space="0"/>
              </w:rPr>
              <w:t>或核准</w:t>
            </w:r>
            <w:r>
              <w:rPr>
                <w:rFonts w:hint="eastAsia"/>
                <w:b/>
                <w:bCs/>
              </w:rPr>
              <w:t>（核准、备案）</w:t>
            </w:r>
            <w:r>
              <w:rPr>
                <w:rFonts w:hint="eastAsia"/>
              </w:rPr>
              <w:t>的项目，其招标投标活动投诉的受理和处理，由县（市、区）</w:t>
            </w:r>
            <w:r>
              <w:rPr>
                <w:rFonts w:hint="eastAsia"/>
                <w:color w:val="FF0000"/>
                <w:bdr w:val="single" w:color="auto" w:sz="4" w:space="0"/>
              </w:rPr>
              <w:t>住房城乡建设行政主管</w:t>
            </w:r>
            <w:r>
              <w:rPr>
                <w:rFonts w:hint="eastAsia"/>
                <w:b/>
                <w:bCs/>
              </w:rPr>
              <w:t>行政监督</w:t>
            </w:r>
            <w:r>
              <w:rPr>
                <w:rFonts w:hint="eastAsia"/>
              </w:rPr>
              <w:t>部门负责。</w:t>
            </w:r>
          </w:p>
          <w:p>
            <w:pPr>
              <w:ind w:firstLine="420" w:firstLineChars="200"/>
            </w:pPr>
          </w:p>
        </w:tc>
        <w:tc>
          <w:tcPr>
            <w:tcW w:w="2104" w:type="dxa"/>
            <w:tcBorders>
              <w:top w:val="single" w:color="auto" w:sz="4" w:space="0"/>
              <w:bottom w:val="single" w:color="auto" w:sz="4" w:space="0"/>
              <w:right w:val="single" w:color="auto" w:sz="4" w:space="0"/>
            </w:tcBorders>
          </w:tcPr>
          <w:p>
            <w:pPr>
              <w:ind w:firstLine="420" w:firstLineChars="200"/>
            </w:pPr>
            <w:r>
              <w:rPr>
                <w:rFonts w:hint="eastAsia"/>
              </w:rPr>
              <w:t>依据《四川省人民政府关于进一步规范国家投资工程建设项目招标投标工作的意见》（川府发〔2014〕62号）第十二条规定，按照项目的隶属关系和投资额度竖向划分项目监管权限。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single" w:color="auto" w:sz="4" w:space="0"/>
              <w:left w:val="single" w:color="auto" w:sz="4" w:space="0"/>
              <w:bottom w:val="single" w:color="auto" w:sz="4" w:space="0"/>
            </w:tcBorders>
          </w:tcPr>
          <w:p>
            <w:pPr>
              <w:ind w:firstLine="420" w:firstLineChars="200"/>
            </w:pPr>
            <w:r>
              <w:rPr>
                <w:rFonts w:hint="eastAsia"/>
              </w:rPr>
              <w:t>第七条【投诉内容】招标投标活动存在以下情形的，投诉人有权依法向住房城乡建设行政主管部门投诉：</w:t>
            </w:r>
          </w:p>
          <w:p>
            <w:pPr>
              <w:ind w:firstLine="420" w:firstLineChars="200"/>
            </w:pPr>
            <w:r>
              <w:rPr>
                <w:rFonts w:hint="eastAsia"/>
              </w:rPr>
              <w:t>（一）泄露保密资料、泄露标底；</w:t>
            </w:r>
          </w:p>
          <w:p>
            <w:pPr>
              <w:ind w:firstLine="420" w:firstLineChars="200"/>
            </w:pPr>
            <w:r>
              <w:rPr>
                <w:rFonts w:hint="eastAsia"/>
              </w:rPr>
              <w:t>（二）串通招标、串通投标；</w:t>
            </w:r>
          </w:p>
          <w:p>
            <w:pPr>
              <w:ind w:firstLine="420" w:firstLineChars="200"/>
            </w:pPr>
            <w:r>
              <w:rPr>
                <w:rFonts w:hint="eastAsia"/>
              </w:rPr>
              <w:t>（三）歧视排斥投标人或潜在投标人；</w:t>
            </w:r>
          </w:p>
          <w:p>
            <w:pPr>
              <w:ind w:firstLine="420" w:firstLineChars="200"/>
            </w:pPr>
            <w:r>
              <w:rPr>
                <w:rFonts w:hint="eastAsia"/>
              </w:rPr>
              <w:t>（四）骗取中标；</w:t>
            </w:r>
          </w:p>
          <w:p>
            <w:pPr>
              <w:ind w:firstLine="420" w:firstLineChars="200"/>
            </w:pPr>
            <w:r>
              <w:rPr>
                <w:rFonts w:hint="eastAsia"/>
              </w:rPr>
              <w:t>（五）违法确定中标人；</w:t>
            </w:r>
          </w:p>
          <w:p>
            <w:pPr>
              <w:ind w:firstLine="420" w:firstLineChars="200"/>
            </w:pPr>
            <w:r>
              <w:rPr>
                <w:rFonts w:hint="eastAsia"/>
              </w:rPr>
              <w:t>（六）不按规定签订合同；</w:t>
            </w:r>
          </w:p>
          <w:p>
            <w:pPr>
              <w:ind w:firstLine="420" w:firstLineChars="200"/>
            </w:pPr>
            <w:r>
              <w:rPr>
                <w:rFonts w:hint="eastAsia"/>
              </w:rPr>
              <w:t>（七）法律、法规、规章等规定的其他情形。</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tc>
        <w:tc>
          <w:tcPr>
            <w:tcW w:w="5610" w:type="dxa"/>
            <w:tcBorders>
              <w:top w:val="single" w:color="auto" w:sz="4" w:space="0"/>
              <w:bottom w:val="single" w:color="auto" w:sz="4" w:space="0"/>
            </w:tcBorders>
          </w:tcPr>
          <w:p>
            <w:pPr>
              <w:ind w:firstLine="420" w:firstLineChars="200"/>
              <w:rPr>
                <w:b/>
                <w:bCs/>
              </w:rPr>
            </w:pPr>
            <w:r>
              <w:rPr>
                <w:rFonts w:hint="eastAsia"/>
              </w:rPr>
              <w:t>第</w:t>
            </w:r>
            <w:r>
              <w:rPr>
                <w:rFonts w:hint="eastAsia"/>
                <w:color w:val="FF0000"/>
                <w:bdr w:val="single" w:color="auto" w:sz="4" w:space="0"/>
              </w:rPr>
              <w:t>七</w:t>
            </w:r>
            <w:r>
              <w:rPr>
                <w:rFonts w:hint="eastAsia"/>
                <w:b/>
                <w:bCs/>
              </w:rPr>
              <w:t>四</w:t>
            </w:r>
            <w:r>
              <w:rPr>
                <w:rFonts w:hint="eastAsia"/>
              </w:rPr>
              <w:t>条</w:t>
            </w:r>
            <w:r>
              <w:rPr>
                <w:rFonts w:hint="eastAsia"/>
                <w:color w:val="FF0000"/>
                <w:bdr w:val="single" w:color="auto" w:sz="4" w:space="0"/>
              </w:rPr>
              <w:t>【投诉内容】</w:t>
            </w:r>
            <w:r>
              <w:rPr>
                <w:rFonts w:hint="eastAsia"/>
                <w:b/>
                <w:bCs/>
              </w:rPr>
              <w:t xml:space="preserve"> 【部门职责分工】</w:t>
            </w:r>
            <w:r>
              <w:rPr>
                <w:rFonts w:hint="eastAsia"/>
                <w:color w:val="FF0000"/>
                <w:bdr w:val="single" w:color="auto" w:sz="4" w:space="0"/>
              </w:rPr>
              <w:t>招标投标活动存在以下情形的，投诉人有权依法向住房城乡建设行政主管部门投诉</w:t>
            </w:r>
            <w:r>
              <w:rPr>
                <w:rFonts w:hint="eastAsia"/>
                <w:b/>
                <w:bCs/>
              </w:rPr>
              <w:t>住房城乡建设行政主管部门负责对下列违法行为进行监督，并受理投标人或者其他利害关系人的投诉：</w:t>
            </w:r>
          </w:p>
          <w:p>
            <w:pPr>
              <w:ind w:firstLine="420" w:firstLineChars="200"/>
            </w:pPr>
            <w:r>
              <w:rPr>
                <w:rFonts w:hint="eastAsia"/>
                <w:color w:val="FF0000"/>
                <w:bdr w:val="single" w:color="auto" w:sz="4" w:space="0"/>
              </w:rPr>
              <w:t>（一）泄露保密资料、泄露标底；</w:t>
            </w:r>
          </w:p>
          <w:p>
            <w:pPr>
              <w:ind w:firstLine="420" w:firstLineChars="200"/>
            </w:pPr>
            <w:r>
              <w:rPr>
                <w:rFonts w:hint="eastAsia"/>
                <w:color w:val="FF0000"/>
                <w:bdr w:val="single" w:color="auto" w:sz="4" w:space="0"/>
              </w:rPr>
              <w:t>（二）串通招标、</w:t>
            </w:r>
            <w:r>
              <w:rPr>
                <w:rFonts w:hint="eastAsia" w:ascii="黑体" w:hAnsi="黑体" w:eastAsia="黑体" w:cs="黑体"/>
                <w:b/>
                <w:bCs/>
              </w:rPr>
              <w:t>（一）</w:t>
            </w:r>
            <w:r>
              <w:rPr>
                <w:rFonts w:hint="eastAsia"/>
              </w:rPr>
              <w:t>串通投标；</w:t>
            </w:r>
          </w:p>
          <w:p>
            <w:pPr>
              <w:ind w:firstLine="420" w:firstLineChars="200"/>
            </w:pPr>
            <w:r>
              <w:rPr>
                <w:rFonts w:hint="eastAsia"/>
                <w:color w:val="FF0000"/>
                <w:bdr w:val="single" w:color="auto" w:sz="4" w:space="0"/>
              </w:rPr>
              <w:t>（三）歧视</w:t>
            </w:r>
            <w:r>
              <w:rPr>
                <w:rFonts w:hint="eastAsia"/>
                <w:b/>
                <w:bCs/>
              </w:rPr>
              <w:t>（二）限制、</w:t>
            </w:r>
            <w:r>
              <w:rPr>
                <w:rFonts w:hint="eastAsia"/>
              </w:rPr>
              <w:t>排斥</w:t>
            </w:r>
            <w:r>
              <w:rPr>
                <w:rFonts w:hint="eastAsia"/>
                <w:color w:val="FF0000"/>
                <w:bdr w:val="single" w:color="auto" w:sz="4" w:space="0"/>
              </w:rPr>
              <w:t>投标人或</w:t>
            </w:r>
            <w:r>
              <w:rPr>
                <w:rFonts w:hint="eastAsia"/>
              </w:rPr>
              <w:t>潜在投标人</w:t>
            </w:r>
            <w:r>
              <w:rPr>
                <w:rFonts w:hint="eastAsia"/>
                <w:b/>
                <w:bCs/>
              </w:rPr>
              <w:t>或者投标人</w:t>
            </w:r>
            <w:r>
              <w:rPr>
                <w:rFonts w:hint="eastAsia"/>
              </w:rPr>
              <w:t>；</w:t>
            </w:r>
          </w:p>
          <w:p>
            <w:pPr>
              <w:ind w:firstLine="420" w:firstLineChars="200"/>
            </w:pPr>
            <w:r>
              <w:rPr>
                <w:rFonts w:hint="eastAsia"/>
                <w:color w:val="FF0000"/>
                <w:bdr w:val="single" w:color="auto" w:sz="4" w:space="0"/>
              </w:rPr>
              <w:t>（四）</w:t>
            </w:r>
            <w:r>
              <w:rPr>
                <w:rFonts w:hint="eastAsia"/>
                <w:b/>
                <w:bCs/>
              </w:rPr>
              <w:t>（三）</w:t>
            </w:r>
            <w:r>
              <w:rPr>
                <w:rFonts w:hint="eastAsia"/>
              </w:rPr>
              <w:t>骗取中标；</w:t>
            </w:r>
          </w:p>
          <w:p>
            <w:pPr>
              <w:ind w:firstLine="420" w:firstLineChars="200"/>
            </w:pPr>
            <w:r>
              <w:rPr>
                <w:rFonts w:hint="eastAsia"/>
                <w:color w:val="FF0000"/>
                <w:bdr w:val="single" w:color="auto" w:sz="4" w:space="0"/>
              </w:rPr>
              <w:t>（五）违法</w:t>
            </w:r>
            <w:r>
              <w:rPr>
                <w:rFonts w:hint="eastAsia"/>
                <w:b/>
                <w:bCs/>
              </w:rPr>
              <w:t>（四）不按规定</w:t>
            </w:r>
            <w:r>
              <w:rPr>
                <w:rFonts w:hint="eastAsia"/>
              </w:rPr>
              <w:t>确定中标人；</w:t>
            </w:r>
          </w:p>
          <w:p>
            <w:pPr>
              <w:ind w:firstLine="420" w:firstLineChars="200"/>
            </w:pPr>
            <w:r>
              <w:rPr>
                <w:rFonts w:hint="eastAsia"/>
                <w:color w:val="FF0000"/>
                <w:bdr w:val="single" w:color="auto" w:sz="4" w:space="0"/>
              </w:rPr>
              <w:t>（六）不按规定</w:t>
            </w:r>
            <w:r>
              <w:rPr>
                <w:rFonts w:hint="eastAsia"/>
                <w:b/>
                <w:bCs/>
              </w:rPr>
              <w:t>（五）违法</w:t>
            </w:r>
            <w:r>
              <w:rPr>
                <w:rFonts w:hint="eastAsia"/>
              </w:rPr>
              <w:t>签订合同；</w:t>
            </w:r>
          </w:p>
          <w:p>
            <w:pPr>
              <w:ind w:firstLine="420" w:firstLineChars="200"/>
            </w:pPr>
            <w:r>
              <w:rPr>
                <w:rFonts w:hint="eastAsia"/>
                <w:color w:val="FF0000"/>
                <w:bdr w:val="single" w:color="auto" w:sz="4" w:space="0"/>
              </w:rPr>
              <w:t>（七）</w:t>
            </w:r>
            <w:r>
              <w:rPr>
                <w:rFonts w:hint="eastAsia" w:ascii="黑体" w:hAnsi="黑体" w:eastAsia="黑体" w:cs="黑体"/>
                <w:b/>
                <w:bCs/>
              </w:rPr>
              <w:t>（六）</w:t>
            </w:r>
            <w:r>
              <w:rPr>
                <w:rFonts w:hint="eastAsia"/>
              </w:rPr>
              <w:t>法律、法规、规章等规定的其他情形。</w:t>
            </w:r>
          </w:p>
          <w:p>
            <w:pPr>
              <w:ind w:firstLine="422" w:firstLineChars="200"/>
              <w:rPr>
                <w:b/>
                <w:bCs/>
              </w:rPr>
            </w:pPr>
            <w:r>
              <w:rPr>
                <w:rFonts w:hint="eastAsia"/>
                <w:b/>
                <w:bCs/>
              </w:rPr>
              <w:t>项目审批部门负责对规避招标、违反招标事项核准规定、违规发布招标公告或资格预审公告等违法行为进行监督，对招标评标无效进行认定，并受理投标人或者其他利害关系人的投诉。</w:t>
            </w:r>
          </w:p>
          <w:p>
            <w:pPr>
              <w:ind w:firstLine="422" w:firstLineChars="200"/>
            </w:pPr>
            <w:r>
              <w:rPr>
                <w:rFonts w:hint="eastAsia"/>
                <w:b/>
                <w:bCs/>
              </w:rPr>
              <w:t>县级以上地方人民政府对其所属部门有关招标投标活动的监督职责分工另有规定的，从其规定。</w:t>
            </w:r>
          </w:p>
        </w:tc>
        <w:tc>
          <w:tcPr>
            <w:tcW w:w="2104" w:type="dxa"/>
            <w:tcBorders>
              <w:top w:val="single" w:color="auto" w:sz="4" w:space="0"/>
              <w:bottom w:val="single" w:color="auto" w:sz="4" w:space="0"/>
              <w:right w:val="single" w:color="auto" w:sz="4" w:space="0"/>
            </w:tcBorders>
          </w:tcPr>
          <w:p>
            <w:pPr>
              <w:ind w:firstLine="420" w:firstLineChars="200"/>
            </w:pPr>
            <w:r>
              <w:rPr>
                <w:rFonts w:hint="eastAsia"/>
              </w:rPr>
              <w:t>按照《招标投标法实施条例》术语描述违法行为。</w:t>
            </w:r>
          </w:p>
          <w:p>
            <w:pPr>
              <w:ind w:firstLine="420" w:firstLineChars="200"/>
            </w:pPr>
            <w:r>
              <w:rPr>
                <w:rFonts w:hint="eastAsia"/>
              </w:rPr>
              <w:t>删除“（一）泄露保密资料、泄露标底”。依据《招标投标法实施条例》第四十一条的规定，泄露保密资料、泄露标底均属于串通投标。</w:t>
            </w:r>
          </w:p>
          <w:p>
            <w:pPr>
              <w:ind w:firstLine="420" w:firstLineChars="200"/>
            </w:pPr>
            <w:r>
              <w:rPr>
                <w:rFonts w:hint="eastAsia"/>
              </w:rPr>
              <w:t>依据《国务院办公厅印发国务院关于有关部门实施招标投标活动行政监督的职责分工意见的通知》（国办发[2000]34号）和《四川省国家投资工程建设项目招标投标条例》第三十四条的规定，增加项目审批部门受理投诉事项的职责。</w:t>
            </w:r>
          </w:p>
          <w:p>
            <w:pPr>
              <w:ind w:firstLine="420" w:firstLineChars="200"/>
            </w:pPr>
            <w:r>
              <w:rPr>
                <w:rFonts w:hint="eastAsia"/>
              </w:rPr>
              <w:t>依据《招标投标法实施条例》第四条规定，增加地方人民政府有权对招标投标活动监管职责进行重新分配。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single" w:color="auto" w:sz="4" w:space="0"/>
            </w:tcBorders>
          </w:tcPr>
          <w:p>
            <w:pPr>
              <w:ind w:firstLine="420" w:firstLineChars="200"/>
            </w:pPr>
            <w:r>
              <w:rPr>
                <w:rFonts w:hint="eastAsia"/>
              </w:rPr>
              <w:t>第四条【承办机构】住房城乡建设厅负责受理和处理的招标投标活动投诉，由省建设工程招标投标管理总站承办。</w:t>
            </w:r>
          </w:p>
          <w:p>
            <w:pPr>
              <w:ind w:firstLine="420" w:firstLineChars="200"/>
            </w:pPr>
            <w:r>
              <w:rPr>
                <w:rFonts w:hint="eastAsia"/>
              </w:rPr>
              <w:t>市（州）、县（市、区）住房城乡建设行政主管部门应明确本部门受理和处理招标投标活动投诉的承办机构，并报住房城乡建设厅备案。</w:t>
            </w:r>
          </w:p>
          <w:p>
            <w:pPr>
              <w:ind w:firstLine="420" w:firstLineChars="200"/>
            </w:pPr>
            <w:r>
              <w:rPr>
                <w:rFonts w:hint="eastAsia"/>
              </w:rPr>
              <w:t>各级住房城乡建设行政主管部门应将承办机构及其电话、传真、电子信箱和通讯地址向社会公布。</w:t>
            </w:r>
          </w:p>
        </w:tc>
        <w:tc>
          <w:tcPr>
            <w:tcW w:w="5610" w:type="dxa"/>
            <w:tcBorders>
              <w:top w:val="single" w:color="auto" w:sz="4" w:space="0"/>
            </w:tcBorders>
          </w:tcPr>
          <w:p>
            <w:pPr>
              <w:ind w:firstLine="420" w:firstLineChars="200"/>
              <w:rPr>
                <w:b/>
                <w:bCs/>
                <w:color w:val="FF0000"/>
              </w:rPr>
            </w:pPr>
            <w:r>
              <w:rPr>
                <w:rFonts w:hint="eastAsia"/>
              </w:rPr>
              <w:t>第</w:t>
            </w:r>
            <w:r>
              <w:rPr>
                <w:rFonts w:hint="eastAsia"/>
                <w:color w:val="FF0000"/>
                <w:bdr w:val="single" w:color="auto" w:sz="4" w:space="0"/>
              </w:rPr>
              <w:t>四</w:t>
            </w:r>
            <w:r>
              <w:rPr>
                <w:rFonts w:hint="eastAsia"/>
                <w:b/>
                <w:bCs/>
              </w:rPr>
              <w:t>五</w:t>
            </w:r>
            <w:r>
              <w:rPr>
                <w:rFonts w:hint="eastAsia"/>
              </w:rPr>
              <w:t>条【承办机构】住房城乡建设厅负责受理和处理的招标投标活动投诉，由省建设工程招标投标</w:t>
            </w:r>
            <w:r>
              <w:rPr>
                <w:rFonts w:hint="eastAsia"/>
                <w:color w:val="FF0000"/>
                <w:bdr w:val="single" w:color="auto" w:sz="4" w:space="0"/>
              </w:rPr>
              <w:t>管理</w:t>
            </w:r>
            <w:r>
              <w:rPr>
                <w:rFonts w:hint="eastAsia"/>
              </w:rPr>
              <w:t>总站承办。</w:t>
            </w:r>
          </w:p>
          <w:p>
            <w:pPr>
              <w:ind w:firstLine="420" w:firstLineChars="200"/>
            </w:pPr>
            <w:r>
              <w:rPr>
                <w:rFonts w:hint="eastAsia"/>
              </w:rPr>
              <w:t>市（州）、县（市、区）住房城乡建设行政主管部门应明确本部门受理和处理招标投标活动投诉的承办机构，并报住房城乡建设厅备案。</w:t>
            </w:r>
          </w:p>
          <w:p>
            <w:pPr>
              <w:ind w:firstLine="420" w:firstLineChars="200"/>
            </w:pPr>
            <w:r>
              <w:rPr>
                <w:rFonts w:hint="eastAsia"/>
              </w:rPr>
              <w:t>各级住房城乡建设行政主管部门应将承办机构及其电话、传真、电子信箱和通讯地址向社会公布。</w:t>
            </w:r>
          </w:p>
        </w:tc>
        <w:tc>
          <w:tcPr>
            <w:tcW w:w="2104" w:type="dxa"/>
            <w:tcBorders>
              <w:top w:val="single" w:color="auto" w:sz="4" w:space="0"/>
            </w:tcBorders>
          </w:tcPr>
          <w:p>
            <w:pPr>
              <w:ind w:firstLine="420" w:firstLineChars="200"/>
            </w:pPr>
            <w:r>
              <w:rPr>
                <w:rFonts w:hint="eastAsia"/>
              </w:rPr>
              <w:t>按照事业单位机构改革要求，“省建设工程招标投标管理总站”名称变更为“省建设工程招标投标总站”。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第五条【处理原则】各级住房城乡建设行政主管部门处理投诉时，应当坚持公平、公正、高效原则，严格执行法律、法规和规章，维护国家利益、社会公共利益和招标投标当事人的合法权益。</w:t>
            </w:r>
          </w:p>
        </w:tc>
        <w:tc>
          <w:tcPr>
            <w:tcW w:w="5610" w:type="dxa"/>
          </w:tcPr>
          <w:p>
            <w:pPr>
              <w:ind w:firstLine="420" w:firstLineChars="200"/>
            </w:pPr>
            <w:r>
              <w:rPr>
                <w:rFonts w:hint="eastAsia"/>
              </w:rPr>
              <w:t>第</w:t>
            </w:r>
            <w:r>
              <w:rPr>
                <w:rFonts w:hint="eastAsia"/>
                <w:color w:val="FF0000"/>
                <w:bdr w:val="single" w:color="auto" w:sz="4" w:space="0"/>
              </w:rPr>
              <w:t>五</w:t>
            </w:r>
            <w:r>
              <w:rPr>
                <w:rFonts w:hint="eastAsia"/>
                <w:b/>
                <w:bCs/>
              </w:rPr>
              <w:t>六</w:t>
            </w:r>
            <w:r>
              <w:rPr>
                <w:rFonts w:hint="eastAsia"/>
              </w:rPr>
              <w:t>条【处理原则】各级住房城乡建设行政主管部门处理投诉时，应当坚持公平、公正、高效原则，严格执行法律、法规和规章，维护国家利益、社会公共利益和招标投标当事人的合法权益。</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第六条 【投诉主体】投标人或者其他利害关系人认为招标投标活动不符合法律、法规和规章规定的，有权依法向有关行政监督部门投诉。</w:t>
            </w:r>
          </w:p>
          <w:p>
            <w:pPr>
              <w:ind w:firstLine="420" w:firstLineChars="200"/>
            </w:pPr>
            <w:r>
              <w:rPr>
                <w:rFonts w:hint="eastAsia"/>
              </w:rPr>
              <w:t>前款所称其他利害关系人是指投标人以外的，与招标项目或者招标活动有直接和间接利益关系的法人、其他组织和自然人。</w:t>
            </w:r>
          </w:p>
        </w:tc>
        <w:tc>
          <w:tcPr>
            <w:tcW w:w="5610" w:type="dxa"/>
          </w:tcPr>
          <w:p>
            <w:pPr>
              <w:ind w:firstLine="420" w:firstLineChars="200"/>
            </w:pPr>
            <w:r>
              <w:rPr>
                <w:rFonts w:hint="eastAsia"/>
              </w:rPr>
              <w:t>第</w:t>
            </w:r>
            <w:r>
              <w:rPr>
                <w:rFonts w:hint="eastAsia"/>
                <w:color w:val="FF0000"/>
                <w:bdr w:val="single" w:color="auto" w:sz="4" w:space="0"/>
              </w:rPr>
              <w:t>六</w:t>
            </w:r>
            <w:r>
              <w:rPr>
                <w:rFonts w:hint="eastAsia"/>
                <w:b/>
                <w:bCs/>
              </w:rPr>
              <w:t>七</w:t>
            </w:r>
            <w:r>
              <w:rPr>
                <w:rFonts w:hint="eastAsia"/>
              </w:rPr>
              <w:t>条 【投诉主体】投标人或者其他利害关系人认为招标投标活动不符合法律、法规和规章规定的，有权依法向有关行政监督部门投诉。</w:t>
            </w:r>
          </w:p>
          <w:p>
            <w:pPr>
              <w:ind w:firstLine="420" w:firstLineChars="200"/>
            </w:pPr>
            <w:r>
              <w:rPr>
                <w:rFonts w:hint="eastAsia"/>
              </w:rPr>
              <w:t>前款所称其他利害关系人是指投标人以外的，与招标项目或者招标活动有直接和间接利益关系的法人、其他组织和自然人。</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single" w:color="auto" w:sz="4" w:space="0"/>
              <w:left w:val="single" w:color="auto" w:sz="4" w:space="0"/>
              <w:bottom w:val="single" w:color="auto" w:sz="4" w:space="0"/>
            </w:tcBorders>
          </w:tcPr>
          <w:p>
            <w:pPr>
              <w:ind w:firstLine="420" w:firstLineChars="200"/>
            </w:pPr>
            <w:r>
              <w:rPr>
                <w:rFonts w:hint="eastAsia"/>
              </w:rPr>
              <w:t>第九条 【投诉前置条件】依法应先向招标人提出异议的，投诉人应依法先向招标人提出异议，招标人应在规定时限内作出答复，异议答复期间不计算在内。投诉人认为招标人的答复不符合法律、法规、规章规定或招标人在规定时间内未答复的，方可依法投诉。</w:t>
            </w:r>
          </w:p>
          <w:p>
            <w:pPr>
              <w:ind w:firstLine="420" w:firstLineChars="200"/>
            </w:pPr>
            <w:r>
              <w:rPr>
                <w:rFonts w:hint="eastAsia"/>
              </w:rPr>
              <w:t>异议的情形及处理：</w:t>
            </w:r>
          </w:p>
          <w:p>
            <w:pPr>
              <w:ind w:firstLine="420" w:firstLineChars="200"/>
            </w:pPr>
            <w:r>
              <w:rPr>
                <w:rFonts w:hint="eastAsia"/>
              </w:rPr>
              <w:t>（一）潜在投标人或者其他利害关系人对资格预审文件有异议的，应当在提交资格预审申请文件截止时间2日前提出异议；对招标文件有异议的，应当在投标截止时间10日前提出异议。招标人应当自收到异议之日起3日内（不含收到异议当日）作出书面答复；作出书面答复前，应当暂停招标投标活动。</w:t>
            </w:r>
          </w:p>
          <w:p>
            <w:pPr>
              <w:ind w:firstLine="420" w:firstLineChars="200"/>
            </w:pPr>
            <w:r>
              <w:rPr>
                <w:rFonts w:hint="eastAsia"/>
              </w:rPr>
              <w:t>（二）投标人对开标有异议的，应当在开标现场提出，招标人应当当场作出答复，并制作记录。</w:t>
            </w:r>
          </w:p>
          <w:p>
            <w:pPr>
              <w:ind w:firstLine="420" w:firstLineChars="200"/>
            </w:pPr>
            <w:r>
              <w:rPr>
                <w:rFonts w:hint="eastAsia"/>
              </w:rPr>
              <w:t>（三）投标人或者其他利害关系人对依法必须进行招标的项目的评标结果有异议的，应当在中标候选人公示期间提出异议。招标人应当自收到异议之日起3日内（不含收到异议当日）作出书面答复；作出书面答复前，应当暂停招标投标活动。</w:t>
            </w:r>
          </w:p>
        </w:tc>
        <w:tc>
          <w:tcPr>
            <w:tcW w:w="5610" w:type="dxa"/>
            <w:tcBorders>
              <w:top w:val="single" w:color="auto" w:sz="4" w:space="0"/>
              <w:bottom w:val="single" w:color="auto" w:sz="4" w:space="0"/>
            </w:tcBorders>
          </w:tcPr>
          <w:p>
            <w:pPr>
              <w:ind w:firstLine="420" w:firstLineChars="200"/>
            </w:pPr>
            <w:r>
              <w:rPr>
                <w:rFonts w:hint="eastAsia"/>
              </w:rPr>
              <w:t>第</w:t>
            </w:r>
            <w:r>
              <w:rPr>
                <w:rFonts w:hint="eastAsia"/>
                <w:color w:val="FF0000"/>
                <w:bdr w:val="single" w:color="auto" w:sz="4" w:space="0"/>
              </w:rPr>
              <w:t>九</w:t>
            </w:r>
            <w:r>
              <w:rPr>
                <w:rFonts w:hint="eastAsia"/>
                <w:b/>
                <w:bCs/>
              </w:rPr>
              <w:t>八</w:t>
            </w:r>
            <w:r>
              <w:rPr>
                <w:rFonts w:hint="eastAsia"/>
              </w:rPr>
              <w:t>条 【投诉前置条件】依法应先向招标人提出异议的，</w:t>
            </w:r>
            <w:r>
              <w:rPr>
                <w:rFonts w:hint="eastAsia"/>
                <w:color w:val="FF0000"/>
                <w:bdr w:val="single" w:color="auto" w:sz="4" w:space="0"/>
              </w:rPr>
              <w:t>投诉人</w:t>
            </w:r>
            <w:r>
              <w:rPr>
                <w:rFonts w:hint="eastAsia"/>
                <w:b/>
                <w:bCs/>
              </w:rPr>
              <w:t>潜在投标人、投标人或者其他利害关系人</w:t>
            </w:r>
            <w:r>
              <w:rPr>
                <w:rFonts w:hint="eastAsia"/>
              </w:rPr>
              <w:t>应依法先向招标人提出异议，招标人应在规定时限内作出答复</w:t>
            </w:r>
            <w:r>
              <w:rPr>
                <w:rFonts w:hint="eastAsia"/>
                <w:bdr w:val="single" w:color="auto" w:sz="4" w:space="0"/>
              </w:rPr>
              <w:t>，异议答复期间不计算在内</w:t>
            </w:r>
            <w:r>
              <w:rPr>
                <w:rFonts w:hint="eastAsia"/>
              </w:rPr>
              <w:t>。</w:t>
            </w:r>
            <w:r>
              <w:rPr>
                <w:rFonts w:hint="eastAsia"/>
                <w:color w:val="FF0000"/>
                <w:bdr w:val="single" w:color="auto" w:sz="4" w:space="0"/>
              </w:rPr>
              <w:t>投诉人</w:t>
            </w:r>
            <w:r>
              <w:rPr>
                <w:rFonts w:hint="eastAsia"/>
                <w:b/>
                <w:bCs/>
              </w:rPr>
              <w:t>潜在投标人、投标人或者其他利害关系人</w:t>
            </w:r>
            <w:r>
              <w:rPr>
                <w:rFonts w:hint="eastAsia"/>
              </w:rPr>
              <w:t>认为招标人的答复不符合法律、法规、规章规定或招标人在</w:t>
            </w:r>
            <w:r>
              <w:rPr>
                <w:rFonts w:hint="eastAsia"/>
                <w:color w:val="FF0000"/>
                <w:bdr w:val="single" w:color="auto" w:sz="4" w:space="0"/>
              </w:rPr>
              <w:t>规定时间</w:t>
            </w:r>
            <w:r>
              <w:rPr>
                <w:rFonts w:hint="eastAsia"/>
                <w:b/>
                <w:bCs/>
              </w:rPr>
              <w:t>规定时限</w:t>
            </w:r>
            <w:r>
              <w:rPr>
                <w:rFonts w:hint="eastAsia"/>
              </w:rPr>
              <w:t>内未答复的，</w:t>
            </w:r>
            <w:r>
              <w:rPr>
                <w:rFonts w:hint="eastAsia"/>
                <w:color w:val="FF0000"/>
                <w:bdr w:val="single" w:color="auto" w:sz="4" w:space="0"/>
              </w:rPr>
              <w:t>方可</w:t>
            </w:r>
            <w:r>
              <w:rPr>
                <w:rFonts w:hint="eastAsia" w:ascii="黑体" w:hAnsi="黑体" w:eastAsia="黑体" w:cs="黑体"/>
                <w:b/>
                <w:bCs/>
              </w:rPr>
              <w:t>可以</w:t>
            </w:r>
            <w:r>
              <w:rPr>
                <w:rFonts w:hint="eastAsia"/>
              </w:rPr>
              <w:t>依法投诉。</w:t>
            </w:r>
          </w:p>
          <w:p>
            <w:pPr>
              <w:ind w:firstLine="420" w:firstLineChars="200"/>
            </w:pPr>
            <w:r>
              <w:rPr>
                <w:rFonts w:hint="eastAsia"/>
              </w:rPr>
              <w:t>异议的情形及处理：</w:t>
            </w:r>
          </w:p>
          <w:p>
            <w:pPr>
              <w:ind w:firstLine="420" w:firstLineChars="200"/>
            </w:pPr>
            <w:r>
              <w:rPr>
                <w:rFonts w:hint="eastAsia"/>
              </w:rPr>
              <w:t>（一）潜在投标人或者其他利害关系人对资格预审文件有异议的，应当在提交资格预审申请文件截止时间2日前提出异议；对招标文件有异议的，应当在投标截止时间10日前提出异议。招标人应当自收到异议之日起3日内（不含收到异议当日）作出书面答复；作出书面答复前，应当暂停招标投标活动。</w:t>
            </w:r>
          </w:p>
          <w:p>
            <w:pPr>
              <w:ind w:firstLine="420" w:firstLineChars="200"/>
            </w:pPr>
            <w:r>
              <w:rPr>
                <w:rFonts w:hint="eastAsia"/>
              </w:rPr>
              <w:t>（二）投标人对开标有异议的，应当在开标现场提出，招标人应当当场作出答复，并制作记录。</w:t>
            </w:r>
          </w:p>
          <w:p>
            <w:pPr>
              <w:ind w:firstLine="420" w:firstLineChars="200"/>
              <w:rPr>
                <w:b/>
                <w:bCs/>
              </w:rPr>
            </w:pPr>
            <w:r>
              <w:rPr>
                <w:rFonts w:hint="eastAsia"/>
              </w:rPr>
              <w:t>（三）投标人或者其他利害关系人对依法必须进行招标的项目的评标结果有异议的，应当在中标候选人公示期间提出异议。招标人应当自收到异议之日起3日内（不含收到异议当日）作出书面答复；作出书面答复前，应当暂停招标投标活动。</w:t>
            </w:r>
          </w:p>
        </w:tc>
        <w:tc>
          <w:tcPr>
            <w:tcW w:w="2104" w:type="dxa"/>
            <w:tcBorders>
              <w:top w:val="single" w:color="auto" w:sz="4" w:space="0"/>
              <w:bottom w:val="single" w:color="auto" w:sz="4" w:space="0"/>
              <w:right w:val="single" w:color="auto" w:sz="4" w:space="0"/>
            </w:tcBorders>
          </w:tcPr>
          <w:p>
            <w:pPr>
              <w:ind w:firstLine="420" w:firstLineChars="200"/>
            </w:pPr>
            <w:r>
              <w:rPr>
                <w:rFonts w:hint="eastAsia"/>
              </w:rPr>
              <w:t>将原条款中“招标人”修改为“潜在投标人、投标人或者其他利害关系人”与异议的主体表述一致。</w:t>
            </w:r>
          </w:p>
          <w:p>
            <w:pPr>
              <w:ind w:firstLine="420" w:firstLineChars="200"/>
            </w:pPr>
            <w:r>
              <w:rPr>
                <w:rFonts w:hint="eastAsia"/>
              </w:rPr>
              <w:t>将将原条款中“规定时间”修改为“规定时限”使之前后表述一致。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single" w:color="auto" w:sz="4" w:space="0"/>
            </w:tcBorders>
          </w:tcPr>
          <w:p>
            <w:pPr>
              <w:ind w:firstLine="420" w:firstLineChars="200"/>
            </w:pPr>
            <w:r>
              <w:rPr>
                <w:rFonts w:hint="eastAsia"/>
              </w:rPr>
              <w:t>第八条【投诉时限】投诉人就本办法第七条规定情形投诉的，应自知道或者应当知道之日起十日内提出。</w:t>
            </w:r>
          </w:p>
        </w:tc>
        <w:tc>
          <w:tcPr>
            <w:tcW w:w="5610" w:type="dxa"/>
            <w:tcBorders>
              <w:top w:val="single" w:color="auto" w:sz="4" w:space="0"/>
            </w:tcBorders>
          </w:tcPr>
          <w:p>
            <w:pPr>
              <w:ind w:firstLine="420" w:firstLineChars="200"/>
            </w:pPr>
            <w:r>
              <w:rPr>
                <w:rFonts w:hint="eastAsia"/>
              </w:rPr>
              <w:t>第</w:t>
            </w:r>
            <w:r>
              <w:rPr>
                <w:rFonts w:hint="eastAsia"/>
                <w:color w:val="FF0000"/>
                <w:bdr w:val="single" w:color="auto" w:sz="4" w:space="0"/>
              </w:rPr>
              <w:t>八</w:t>
            </w:r>
            <w:r>
              <w:rPr>
                <w:rFonts w:hint="eastAsia"/>
                <w:b/>
                <w:bCs/>
              </w:rPr>
              <w:t>九</w:t>
            </w:r>
            <w:r>
              <w:rPr>
                <w:rFonts w:hint="eastAsia"/>
              </w:rPr>
              <w:t>条【投诉时限】投诉人就本办法第</w:t>
            </w:r>
            <w:r>
              <w:rPr>
                <w:rFonts w:hint="eastAsia"/>
                <w:color w:val="FF0000"/>
                <w:bdr w:val="single" w:color="auto" w:sz="4" w:space="0"/>
              </w:rPr>
              <w:t>七</w:t>
            </w:r>
            <w:r>
              <w:rPr>
                <w:rFonts w:hint="eastAsia"/>
                <w:b/>
                <w:bCs/>
              </w:rPr>
              <w:t>四</w:t>
            </w:r>
            <w:r>
              <w:rPr>
                <w:rFonts w:hint="eastAsia"/>
              </w:rPr>
              <w:t>条规定情形投诉的，应自知道或者应当知道之日起</w:t>
            </w:r>
            <w:r>
              <w:rPr>
                <w:rFonts w:hint="eastAsia"/>
                <w:color w:val="FF0000"/>
                <w:bdr w:val="single" w:color="auto" w:sz="4" w:space="0"/>
              </w:rPr>
              <w:t>十</w:t>
            </w:r>
            <w:r>
              <w:rPr>
                <w:rFonts w:hint="eastAsia"/>
                <w:b/>
                <w:bCs/>
              </w:rPr>
              <w:t>10</w:t>
            </w:r>
            <w:r>
              <w:rPr>
                <w:rFonts w:hint="eastAsia"/>
              </w:rPr>
              <w:t>日内提出。</w:t>
            </w:r>
          </w:p>
          <w:p>
            <w:pPr>
              <w:ind w:firstLine="422" w:firstLineChars="200"/>
              <w:rPr>
                <w:b/>
                <w:bCs/>
              </w:rPr>
            </w:pPr>
            <w:r>
              <w:rPr>
                <w:rFonts w:hint="eastAsia"/>
                <w:b/>
                <w:bCs/>
              </w:rPr>
              <w:t>投诉事项应先向招标人提出异议的，应当以提出异议为投诉前置条件，异议答复期间不计算在前款10日内。</w:t>
            </w:r>
          </w:p>
          <w:p>
            <w:pPr>
              <w:ind w:firstLine="422" w:firstLineChars="200"/>
              <w:rPr>
                <w:b/>
                <w:bCs/>
              </w:rPr>
            </w:pPr>
            <w:r>
              <w:rPr>
                <w:rFonts w:hint="eastAsia"/>
                <w:b/>
                <w:bCs/>
              </w:rPr>
              <w:t>投诉时效的判断标准：投诉时间若小于或者等于10日的投诉，则满足投诉时限要求；投诉时间若大于10日的投诉，则超过投诉时效。</w:t>
            </w:r>
          </w:p>
          <w:p>
            <w:pPr>
              <w:ind w:firstLine="422" w:firstLineChars="200"/>
              <w:rPr>
                <w:b/>
                <w:bCs/>
              </w:rPr>
            </w:pPr>
            <w:r>
              <w:rPr>
                <w:rFonts w:hint="eastAsia"/>
                <w:b/>
                <w:bCs/>
              </w:rPr>
              <w:t>投诉时间计算：</w:t>
            </w:r>
          </w:p>
          <w:p>
            <w:pPr>
              <w:numPr>
                <w:ilvl w:val="0"/>
                <w:numId w:val="1"/>
              </w:numPr>
              <w:ind w:firstLine="422" w:firstLineChars="200"/>
              <w:rPr>
                <w:b/>
                <w:bCs/>
              </w:rPr>
            </w:pPr>
            <w:r>
              <w:rPr>
                <w:rFonts w:hint="eastAsia"/>
                <w:b/>
                <w:bCs/>
              </w:rPr>
              <w:t>对招标文件（资格预审文件）内容的投诉，投诉时间计算：提出异议至收到投诉的日历天减去异议答复期间的日历天（招标人收到异议未在3日内作出答复的，异议答复期间的日历天按3日计）；</w:t>
            </w:r>
          </w:p>
          <w:p>
            <w:pPr>
              <w:ind w:firstLine="422" w:firstLineChars="200"/>
            </w:pPr>
            <w:r>
              <w:rPr>
                <w:rFonts w:hint="eastAsia"/>
                <w:b/>
                <w:bCs/>
              </w:rPr>
              <w:t>（二）对开标活动的投诉，投诉时间计算：开标至收到投诉的日历天；</w:t>
            </w:r>
          </w:p>
          <w:p>
            <w:pPr>
              <w:ind w:firstLine="422" w:firstLineChars="200"/>
              <w:rPr>
                <w:b/>
                <w:bCs/>
                <w:color w:val="00B0F0"/>
              </w:rPr>
            </w:pPr>
            <w:r>
              <w:rPr>
                <w:rFonts w:hint="eastAsia"/>
                <w:b/>
                <w:bCs/>
              </w:rPr>
              <w:t>（三）对投标人弄虚作假骗取中标、存在限制投标情形  以及其他违反招标文件（资格预审文件）规定情形的投诉，投诉时间计算：评标结果公示之日至收到投诉的日历天减去评标结果公示期的日历天（</w:t>
            </w:r>
            <w:r>
              <w:rPr>
                <w:rFonts w:hint="eastAsia"/>
                <w:b/>
                <w:bCs/>
                <w:color w:val="FF0000"/>
              </w:rPr>
              <w:t>方案一：评标结果公示期均按5个工作日计。</w:t>
            </w:r>
            <w:r>
              <w:rPr>
                <w:rFonts w:hint="eastAsia"/>
                <w:b/>
                <w:bCs/>
                <w:color w:val="00B0F0"/>
              </w:rPr>
              <w:t>方案二：招标文件已明确评标结果公示期大于或者等于5个工作日的，则公示期按招标文件明确的评标结果公示期计；招标文件已明确评标结果公示期小于5个工作日或者未明的，则公示期按5个工作日计）。</w:t>
            </w:r>
          </w:p>
          <w:p>
            <w:pPr>
              <w:ind w:firstLine="422" w:firstLineChars="200"/>
              <w:rPr>
                <w:b/>
                <w:bCs/>
              </w:rPr>
            </w:pPr>
            <w:r>
              <w:rPr>
                <w:rFonts w:hint="eastAsia"/>
                <w:b/>
                <w:bCs/>
              </w:rPr>
              <w:t>（四）对其他情形的投诉，投诉时间计算：知道日或者应当知道之日至收到投诉的日历天。</w:t>
            </w:r>
          </w:p>
          <w:p>
            <w:pPr>
              <w:ind w:firstLine="422" w:firstLineChars="200"/>
              <w:rPr>
                <w:b/>
                <w:bCs/>
              </w:rPr>
            </w:pPr>
          </w:p>
          <w:p>
            <w:pPr>
              <w:ind w:firstLine="420" w:firstLineChars="200"/>
              <w:rPr>
                <w:bdr w:val="single" w:color="auto" w:sz="4" w:space="0"/>
              </w:rPr>
            </w:pPr>
          </w:p>
        </w:tc>
        <w:tc>
          <w:tcPr>
            <w:tcW w:w="2104" w:type="dxa"/>
            <w:tcBorders>
              <w:top w:val="single" w:color="auto" w:sz="4" w:space="0"/>
            </w:tcBorders>
          </w:tcPr>
          <w:p>
            <w:pPr>
              <w:ind w:firstLine="420" w:firstLineChars="200"/>
            </w:pPr>
            <w:r>
              <w:rPr>
                <w:rFonts w:hint="eastAsia"/>
              </w:rPr>
              <w:t>依据《招标投标法实施条例》第六十条规定，增加投诉前置条件条款。</w:t>
            </w:r>
          </w:p>
          <w:p>
            <w:pPr>
              <w:ind w:firstLine="420" w:firstLineChars="200"/>
            </w:pPr>
            <w:r>
              <w:rPr>
                <w:rFonts w:hint="eastAsia"/>
              </w:rPr>
              <w:t>法规对评标结果公示期规定不一致：《中华人民共和国招标投标法实施条例》第五十四条规定，依法必须进行招标的项目的评标结果公示期不得少于3日；《四川省国家投资工程建设项目招标投标条例》第三十条规定，国家投资项目的评标结果公示期为5个工作日。在实践中，由于法规对评标结果公示期规定不一致，导致招标人在编制招标文件时，常常出现未明确评标结果公示期，或者明确评标结果公示期</w:t>
            </w:r>
            <w:r>
              <w:rPr>
                <w:rFonts w:ascii="Arial" w:hAnsi="Arial" w:eastAsia="宋体" w:cs="Arial"/>
              </w:rPr>
              <w:t>≥</w:t>
            </w:r>
            <w:r>
              <w:rPr>
                <w:rFonts w:hint="eastAsia" w:ascii="Arial" w:hAnsi="Arial" w:eastAsia="宋体" w:cs="Arial"/>
              </w:rPr>
              <w:t>5个工作日，</w:t>
            </w:r>
            <w:r>
              <w:rPr>
                <w:rFonts w:hint="eastAsia"/>
              </w:rPr>
              <w:t>或者明确评标结果公示期&lt;</w:t>
            </w:r>
            <w:r>
              <w:rPr>
                <w:rFonts w:hint="eastAsia" w:ascii="Arial" w:hAnsi="Arial" w:eastAsia="宋体" w:cs="Arial"/>
              </w:rPr>
              <w:t>5个工作日等三种情形。</w:t>
            </w:r>
            <w:r>
              <w:rPr>
                <w:rFonts w:hint="eastAsia"/>
              </w:rPr>
              <w:t>招标人在招标文件中明确</w:t>
            </w:r>
            <w:r>
              <w:rPr>
                <w:rFonts w:hint="eastAsia" w:ascii="Arial" w:hAnsi="Arial" w:eastAsia="宋体" w:cs="Arial"/>
              </w:rPr>
              <w:t>评标公示期</w:t>
            </w:r>
            <w:r>
              <w:rPr>
                <w:rFonts w:hint="eastAsia"/>
              </w:rPr>
              <w:t>&lt;</w:t>
            </w:r>
            <w:r>
              <w:rPr>
                <w:rFonts w:hint="eastAsia" w:ascii="Arial" w:hAnsi="Arial" w:eastAsia="宋体" w:cs="Arial"/>
              </w:rPr>
              <w:t>5个工作日，则违反了</w:t>
            </w:r>
            <w:r>
              <w:rPr>
                <w:rFonts w:hint="eastAsia"/>
              </w:rPr>
              <w:t>《四川省国家投资工程建设项目招标投标条例》的规定，同时行政监督部门受理投诉时，计算投诉时间是否满足时限要求，有可能出现自由裁量权，影响投诉处理的公平性。</w:t>
            </w:r>
          </w:p>
          <w:p>
            <w:pPr>
              <w:ind w:firstLine="420" w:firstLineChars="200"/>
            </w:pPr>
            <w:r>
              <w:rPr>
                <w:rFonts w:hint="eastAsia"/>
              </w:rPr>
              <w:t>为规范投诉受理和防范廉政风险，对投诉是否超过投诉时效的计算，依法作出具体规定，统一计算标准，具有实践的公平性和操作性，更具有客观的现实意义。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第十条【投诉材料】投诉人投诉时，应当提交投诉书。投诉书应当包括下列内容：</w:t>
            </w:r>
          </w:p>
          <w:p>
            <w:pPr>
              <w:ind w:firstLine="420" w:firstLineChars="200"/>
            </w:pPr>
            <w:r>
              <w:rPr>
                <w:rFonts w:hint="eastAsia"/>
              </w:rPr>
              <w:t>（一）投诉人的名称、地址及有效联系方式；</w:t>
            </w:r>
          </w:p>
          <w:p>
            <w:pPr>
              <w:ind w:firstLine="420" w:firstLineChars="200"/>
            </w:pPr>
            <w:r>
              <w:rPr>
                <w:rFonts w:hint="eastAsia"/>
              </w:rPr>
              <w:t>（二）被投诉人的名称、地址及有效联系方式；</w:t>
            </w:r>
          </w:p>
          <w:p>
            <w:pPr>
              <w:ind w:firstLine="420" w:firstLineChars="200"/>
            </w:pPr>
            <w:r>
              <w:rPr>
                <w:rFonts w:hint="eastAsia"/>
              </w:rPr>
              <w:t>（三）投诉事项的基本事实；</w:t>
            </w:r>
          </w:p>
          <w:p>
            <w:pPr>
              <w:ind w:firstLine="420" w:firstLineChars="200"/>
            </w:pPr>
            <w:r>
              <w:rPr>
                <w:rFonts w:hint="eastAsia"/>
              </w:rPr>
              <w:t>（四）相关请求及主张；</w:t>
            </w:r>
          </w:p>
          <w:p>
            <w:pPr>
              <w:ind w:firstLine="420" w:firstLineChars="200"/>
            </w:pPr>
            <w:r>
              <w:rPr>
                <w:rFonts w:hint="eastAsia"/>
              </w:rPr>
              <w:t>（五）有效线索和相关证明材料。</w:t>
            </w:r>
          </w:p>
          <w:p>
            <w:pPr>
              <w:ind w:firstLine="420" w:firstLineChars="200"/>
            </w:pPr>
            <w:r>
              <w:rPr>
                <w:rFonts w:hint="eastAsia"/>
              </w:rPr>
              <w:t>对招标投标法实施条例规定应先提出异议的事项进行投诉的，应当附提出异议的证明文件。</w:t>
            </w:r>
          </w:p>
          <w:p>
            <w:pPr>
              <w:ind w:firstLine="420" w:firstLineChars="200"/>
            </w:pPr>
            <w:r>
              <w:rPr>
                <w:rFonts w:hint="eastAsia"/>
              </w:rPr>
              <w:t>投诉人是法人的，投诉书必须由其法定代表人或者授权代表签字并盖章；其他组织或者自然人投诉的，投诉书必须由其主要负责人或者投诉人本人签字，并附有效身份证明复印件。</w:t>
            </w:r>
          </w:p>
          <w:p>
            <w:pPr>
              <w:ind w:firstLine="420" w:firstLineChars="200"/>
            </w:pPr>
            <w:r>
              <w:rPr>
                <w:rFonts w:hint="eastAsia"/>
              </w:rPr>
              <w:t>投诉书有关材料是外文的，投诉人应当同时提供其中文译本。</w:t>
            </w:r>
          </w:p>
        </w:tc>
        <w:tc>
          <w:tcPr>
            <w:tcW w:w="5610" w:type="dxa"/>
          </w:tcPr>
          <w:p>
            <w:pPr>
              <w:ind w:firstLine="420" w:firstLineChars="200"/>
            </w:pPr>
            <w:r>
              <w:rPr>
                <w:rFonts w:hint="eastAsia"/>
              </w:rPr>
              <w:t>第十条【投诉材料】投诉人投诉时，应当提交投诉书。投诉书应当包括下列内容：</w:t>
            </w:r>
          </w:p>
          <w:p>
            <w:pPr>
              <w:ind w:firstLine="420" w:firstLineChars="200"/>
            </w:pPr>
            <w:r>
              <w:rPr>
                <w:rFonts w:hint="eastAsia"/>
              </w:rPr>
              <w:t>（一）投诉人的名称、地址及有效联系方式；</w:t>
            </w:r>
          </w:p>
          <w:p>
            <w:pPr>
              <w:ind w:firstLine="420" w:firstLineChars="200"/>
            </w:pPr>
            <w:r>
              <w:rPr>
                <w:rFonts w:hint="eastAsia"/>
              </w:rPr>
              <w:t>（二）被投诉人的名称、地址及有效联系方式；</w:t>
            </w:r>
          </w:p>
          <w:p>
            <w:pPr>
              <w:ind w:firstLine="420" w:firstLineChars="200"/>
            </w:pPr>
            <w:r>
              <w:rPr>
                <w:rFonts w:hint="eastAsia"/>
              </w:rPr>
              <w:t>（三）投诉事项的基本事实；</w:t>
            </w:r>
          </w:p>
          <w:p>
            <w:pPr>
              <w:ind w:firstLine="420" w:firstLineChars="200"/>
            </w:pPr>
            <w:r>
              <w:rPr>
                <w:rFonts w:hint="eastAsia"/>
              </w:rPr>
              <w:t>（四）相关请求及主张；</w:t>
            </w:r>
          </w:p>
          <w:p>
            <w:pPr>
              <w:ind w:firstLine="420" w:firstLineChars="200"/>
            </w:pPr>
            <w:r>
              <w:rPr>
                <w:rFonts w:hint="eastAsia"/>
              </w:rPr>
              <w:t>（五）有效线索和相关证明材料。</w:t>
            </w:r>
          </w:p>
          <w:p>
            <w:pPr>
              <w:ind w:firstLine="420" w:firstLineChars="200"/>
              <w:rPr>
                <w:b/>
                <w:bCs/>
              </w:rPr>
            </w:pPr>
            <w:r>
              <w:rPr>
                <w:rFonts w:hint="eastAsia"/>
              </w:rPr>
              <w:t>对</w:t>
            </w:r>
            <w:r>
              <w:rPr>
                <w:rFonts w:hint="eastAsia"/>
                <w:b/>
                <w:bCs/>
              </w:rPr>
              <w:t>《</w:t>
            </w:r>
            <w:r>
              <w:rPr>
                <w:rFonts w:hint="eastAsia"/>
              </w:rPr>
              <w:t>招标投标法实施条例》</w:t>
            </w:r>
            <w:r>
              <w:rPr>
                <w:rFonts w:hint="eastAsia"/>
                <w:b/>
                <w:bCs/>
              </w:rPr>
              <w:t>第二十二条、第四十四条</w:t>
            </w:r>
            <w:r>
              <w:rPr>
                <w:rFonts w:hint="eastAsia"/>
              </w:rPr>
              <w:t>规定应先提出异议的事项进行投诉的，应当附提出异议的</w:t>
            </w:r>
            <w:r>
              <w:rPr>
                <w:rFonts w:hint="eastAsia"/>
                <w:color w:val="FF0000"/>
                <w:bdr w:val="single" w:color="auto" w:sz="4" w:space="0"/>
              </w:rPr>
              <w:t>证明文件</w:t>
            </w:r>
            <w:r>
              <w:rPr>
                <w:rFonts w:hint="eastAsia"/>
                <w:b/>
                <w:bCs/>
              </w:rPr>
              <w:t>证明材料，对投标人弄虚作假骗取中标等违法情形投诉的，不需要提供异议的证明材料，有效线索涉及异议答复内容的除外。</w:t>
            </w:r>
          </w:p>
          <w:p>
            <w:pPr>
              <w:ind w:firstLine="420" w:firstLineChars="200"/>
            </w:pPr>
            <w:r>
              <w:rPr>
                <w:rFonts w:hint="eastAsia"/>
              </w:rPr>
              <w:t>投诉人是法人的，投诉书必须由其法定代表人或者授权代表签字并盖章；其他组织或者自然人投诉的，投诉书必须由其主要负责人或者投诉人本人签字，并附有效身份证明复印件。</w:t>
            </w:r>
          </w:p>
          <w:p>
            <w:pPr>
              <w:ind w:firstLine="420" w:firstLineChars="200"/>
            </w:pPr>
            <w:r>
              <w:rPr>
                <w:rFonts w:hint="eastAsia"/>
              </w:rPr>
              <w:t>投诉书有关材料是外文的，投诉人应当同时提供其中文译本。</w:t>
            </w:r>
          </w:p>
        </w:tc>
        <w:tc>
          <w:tcPr>
            <w:tcW w:w="2104" w:type="dxa"/>
          </w:tcPr>
          <w:p>
            <w:pPr>
              <w:ind w:firstLine="420" w:firstLineChars="200"/>
            </w:pPr>
            <w:r>
              <w:rPr>
                <w:rFonts w:hint="eastAsia"/>
              </w:rPr>
              <w:t>对评标结果的投诉，根据《四川省国家投资工程建设项目招标投标条例》第三十四条规定，属审批部门职责。因此，将“招标投标法实施条例规定”修改为“招标投标法实施条例第二十二条、第四十四条规定”以及进一步具体阐述，更具有实践操作性。</w:t>
            </w:r>
          </w:p>
          <w:p>
            <w:pPr>
              <w:ind w:firstLine="420" w:firstLineChars="200"/>
            </w:pPr>
            <w:r>
              <w:rPr>
                <w:rFonts w:hint="eastAsia"/>
              </w:rPr>
              <w:t>将原条款中“证明文件”修改为“证明材料”，因实际工作中，提出异议的证据常常只有异议签收的证据，而没有其他证明文件，因此更具有客观性。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第十一条【投诉要求】投诉人对投诉的真实性负责，不得以投诉为名诋毁其他当事人、排挤竞争对手，不得进行虚假、恶意投诉，阻碍招标投标活动的正常进行。</w:t>
            </w:r>
          </w:p>
        </w:tc>
        <w:tc>
          <w:tcPr>
            <w:tcW w:w="5610" w:type="dxa"/>
          </w:tcPr>
          <w:p>
            <w:pPr>
              <w:ind w:firstLine="420" w:firstLineChars="200"/>
              <w:rPr>
                <w:color w:val="0000FF"/>
              </w:rPr>
            </w:pPr>
            <w:r>
              <w:rPr>
                <w:rFonts w:hint="eastAsia"/>
              </w:rPr>
              <w:t>第十一条【投诉要求】投诉人对投诉的真实性负责，不得以投诉为名诋毁其他当事人、排挤竞争对手，不得进行虚假、恶意投诉，阻碍招标投标活动的正常进行。</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第十二条【委托投诉】投诉人可以自己直接投诉，也可以委托代理人办理投诉事务。代理人办理投诉事务时，应将授权委托书连同投诉书一并提交承办机构。授权委托书应当明确有关委托代理权限和事项。</w:t>
            </w:r>
          </w:p>
        </w:tc>
        <w:tc>
          <w:tcPr>
            <w:tcW w:w="5610" w:type="dxa"/>
          </w:tcPr>
          <w:p>
            <w:pPr>
              <w:ind w:firstLine="420" w:firstLineChars="200"/>
            </w:pPr>
            <w:r>
              <w:rPr>
                <w:rFonts w:hint="eastAsia"/>
              </w:rPr>
              <w:t>第十二条【委托投诉】投诉人可以自己直接投诉，也可以委托代理人办理投诉事务。代理人办理投诉事务时，应将授权委托书连同投诉书一并提交承办机构。授权委托书应当明确有关委托代理权限和事项。</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第十三条【投诉书递交】投诉书的递交，可以当面向承办机构递交，也可以通过邮政、快递方式递交。</w:t>
            </w:r>
          </w:p>
        </w:tc>
        <w:tc>
          <w:tcPr>
            <w:tcW w:w="5610" w:type="dxa"/>
          </w:tcPr>
          <w:p>
            <w:pPr>
              <w:ind w:firstLine="420" w:firstLineChars="200"/>
            </w:pPr>
            <w:r>
              <w:rPr>
                <w:rFonts w:hint="eastAsia"/>
              </w:rPr>
              <w:t>第十三条【投诉书递交】投诉书的递交，</w:t>
            </w:r>
            <w:r>
              <w:rPr>
                <w:rFonts w:hint="eastAsia"/>
                <w:b/>
                <w:bCs/>
              </w:rPr>
              <w:t>通过“四川省住房城乡建设厅网站”选择“工程招标投标活动投诉平台”，按照本办法第四条职责分工规定选择投诉受理的住房城乡建设行政主管部门在线递交，也</w:t>
            </w:r>
            <w:r>
              <w:rPr>
                <w:rFonts w:hint="eastAsia"/>
              </w:rPr>
              <w:t>可以当面向承办机构递交</w:t>
            </w:r>
            <w:r>
              <w:rPr>
                <w:rFonts w:hint="eastAsia"/>
                <w:color w:val="FF0000"/>
                <w:bdr w:val="single" w:color="auto" w:sz="4" w:space="0"/>
              </w:rPr>
              <w:t>、也可以</w:t>
            </w:r>
            <w:r>
              <w:rPr>
                <w:rFonts w:hint="eastAsia"/>
                <w:b/>
                <w:bCs/>
              </w:rPr>
              <w:t>或者</w:t>
            </w:r>
            <w:r>
              <w:rPr>
                <w:rFonts w:hint="eastAsia"/>
              </w:rPr>
              <w:t>通过邮政、快递方式递交。</w:t>
            </w:r>
          </w:p>
        </w:tc>
        <w:tc>
          <w:tcPr>
            <w:tcW w:w="2104" w:type="dxa"/>
          </w:tcPr>
          <w:p>
            <w:pPr>
              <w:ind w:firstLine="420" w:firstLineChars="200"/>
            </w:pPr>
            <w:r>
              <w:rPr>
                <w:rFonts w:hint="eastAsia"/>
              </w:rPr>
              <w:t>优化政务服务，增加便民措施，增设在线投诉渠道，并倡导以在线投诉为主渠道。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bottom w:val="nil"/>
            </w:tcBorders>
          </w:tcPr>
          <w:p>
            <w:pPr>
              <w:ind w:firstLine="420" w:firstLineChars="200"/>
            </w:pPr>
            <w:r>
              <w:rPr>
                <w:rFonts w:hint="eastAsia"/>
              </w:rPr>
              <w:t>第十四条【接收投诉】住房城乡建设行政主管部门收到投诉后，应作好书面记录。</w:t>
            </w:r>
          </w:p>
          <w:p>
            <w:pPr>
              <w:ind w:firstLine="420" w:firstLineChars="200"/>
            </w:pPr>
            <w:r>
              <w:rPr>
                <w:rFonts w:hint="eastAsia"/>
              </w:rPr>
              <w:t>投诉人当面递交投诉书的，承办机构应向投诉人出具签收凭证。</w:t>
            </w:r>
          </w:p>
          <w:p>
            <w:pPr>
              <w:ind w:firstLine="420" w:firstLineChars="200"/>
            </w:pPr>
            <w:r>
              <w:rPr>
                <w:rFonts w:hint="eastAsia"/>
              </w:rPr>
              <w:t>投诉人以邮政或快递方式送交投诉书的，承办机构应作好登记。</w:t>
            </w:r>
          </w:p>
        </w:tc>
        <w:tc>
          <w:tcPr>
            <w:tcW w:w="5610" w:type="dxa"/>
            <w:tcBorders>
              <w:bottom w:val="nil"/>
            </w:tcBorders>
          </w:tcPr>
          <w:p>
            <w:pPr>
              <w:ind w:firstLine="420" w:firstLineChars="200"/>
              <w:rPr>
                <w:color w:val="FF0000"/>
              </w:rPr>
            </w:pPr>
            <w:r>
              <w:rPr>
                <w:rFonts w:hint="eastAsia"/>
              </w:rPr>
              <w:t>第十四条【接收投诉】</w:t>
            </w:r>
            <w:r>
              <w:rPr>
                <w:rFonts w:hint="eastAsia"/>
                <w:color w:val="FF0000"/>
                <w:bdr w:val="single" w:color="auto" w:sz="4" w:space="0"/>
              </w:rPr>
              <w:t>住房城乡建设行政主管部门收到投诉后，应作好书面记录。</w:t>
            </w:r>
          </w:p>
          <w:p>
            <w:pPr>
              <w:ind w:firstLine="422" w:firstLineChars="200"/>
              <w:rPr>
                <w:b/>
                <w:bCs/>
              </w:rPr>
            </w:pPr>
            <w:r>
              <w:rPr>
                <w:rFonts w:hint="eastAsia"/>
                <w:b/>
                <w:bCs/>
              </w:rPr>
              <w:t>投诉人在线递交投诉书的，“四川省住房城乡建设厅网站”的“工程招标投标活动投诉平台”自动收件，投诉人可自行打印签收凭证。</w:t>
            </w:r>
          </w:p>
          <w:p>
            <w:pPr>
              <w:ind w:firstLine="420" w:firstLineChars="200"/>
            </w:pPr>
            <w:r>
              <w:rPr>
                <w:rFonts w:hint="eastAsia"/>
              </w:rPr>
              <w:t>投诉人当面递交投诉书的，承办机构应向投诉人出具签收凭证</w:t>
            </w:r>
            <w:r>
              <w:rPr>
                <w:rFonts w:hint="eastAsia"/>
                <w:b/>
                <w:bCs/>
              </w:rPr>
              <w:t>（见附件一）</w:t>
            </w:r>
            <w:r>
              <w:rPr>
                <w:rFonts w:hint="eastAsia"/>
              </w:rPr>
              <w:t>。</w:t>
            </w:r>
          </w:p>
          <w:p>
            <w:pPr>
              <w:ind w:firstLine="420" w:firstLineChars="200"/>
            </w:pPr>
            <w:r>
              <w:rPr>
                <w:rFonts w:hint="eastAsia"/>
              </w:rPr>
              <w:t>投诉人以邮政或快递方式</w:t>
            </w:r>
            <w:r>
              <w:rPr>
                <w:rFonts w:hint="eastAsia"/>
                <w:color w:val="FF0000"/>
                <w:bdr w:val="single" w:color="auto" w:sz="4" w:space="0"/>
              </w:rPr>
              <w:t>送交</w:t>
            </w:r>
            <w:r>
              <w:rPr>
                <w:rFonts w:hint="eastAsia"/>
                <w:b/>
                <w:bCs/>
              </w:rPr>
              <w:t>递交</w:t>
            </w:r>
            <w:r>
              <w:rPr>
                <w:rFonts w:hint="eastAsia"/>
              </w:rPr>
              <w:t>投诉书的，承办机构应</w:t>
            </w:r>
            <w:r>
              <w:rPr>
                <w:rFonts w:hint="eastAsia"/>
                <w:color w:val="FF0000"/>
                <w:bdr w:val="single" w:color="auto" w:sz="4" w:space="0"/>
              </w:rPr>
              <w:t>保存签收凭证并</w:t>
            </w:r>
            <w:r>
              <w:rPr>
                <w:rFonts w:hint="eastAsia"/>
              </w:rPr>
              <w:t>作好登记。</w:t>
            </w:r>
          </w:p>
        </w:tc>
        <w:tc>
          <w:tcPr>
            <w:tcW w:w="2104" w:type="dxa"/>
            <w:tcBorders>
              <w:bottom w:val="nil"/>
            </w:tcBorders>
          </w:tcPr>
          <w:p>
            <w:pPr>
              <w:ind w:firstLine="420" w:firstLineChars="200"/>
            </w:pPr>
            <w:r>
              <w:rPr>
                <w:rFonts w:hint="eastAsia"/>
              </w:rPr>
              <w:t>优化政务服务，增加便民措施，增加在线投诉接收方式。</w:t>
            </w:r>
          </w:p>
          <w:p>
            <w:pPr>
              <w:ind w:firstLine="420" w:firstLineChars="200"/>
            </w:pPr>
            <w:r>
              <w:rPr>
                <w:rFonts w:hint="eastAsia"/>
              </w:rPr>
              <w:t>为进一步规范投诉受理工作，增加投诉签收凭证（参考格式）和邮政（快递）递交签收证据保存。</w:t>
            </w:r>
          </w:p>
          <w:p>
            <w:pPr>
              <w:ind w:firstLine="420" w:firstLineChars="200"/>
            </w:pPr>
            <w:r>
              <w:rPr>
                <w:rFonts w:hint="eastAsia"/>
              </w:rPr>
              <w:t>为规范表述，将“送交”修改为“递交”。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nil"/>
              <w:left w:val="nil"/>
              <w:bottom w:val="nil"/>
            </w:tcBorders>
          </w:tcPr>
          <w:p>
            <w:pPr>
              <w:ind w:firstLine="420" w:firstLineChars="200"/>
            </w:pPr>
            <w:r>
              <w:rPr>
                <w:rFonts w:hint="eastAsia"/>
              </w:rPr>
              <w:t>第十五条【投诉审查】住房城乡建设行政主管部门收到投诉书后，应当在三个工作日内完成审查，并视情况分别做出以下处理决定。</w:t>
            </w:r>
          </w:p>
          <w:p>
            <w:pPr>
              <w:ind w:firstLine="420" w:firstLineChars="200"/>
            </w:pPr>
            <w:r>
              <w:rPr>
                <w:rFonts w:hint="eastAsia"/>
              </w:rPr>
              <w:t>（一）不符合投诉处理条件的，决定不予受理，并将不予受理的理由书面告知投诉人；</w:t>
            </w:r>
          </w:p>
          <w:p>
            <w:pPr>
              <w:ind w:firstLine="420" w:firstLineChars="200"/>
            </w:pPr>
            <w:r>
              <w:rPr>
                <w:rFonts w:hint="eastAsia"/>
              </w:rPr>
              <w:t>（二）对符合投诉处理条件，但不属于本部门受理的投诉，书面告知投诉人向其他行政监督部门提出投诉。</w:t>
            </w:r>
          </w:p>
          <w:p>
            <w:pPr>
              <w:ind w:firstLine="420" w:firstLineChars="200"/>
            </w:pPr>
            <w:r>
              <w:rPr>
                <w:rFonts w:hint="eastAsia"/>
              </w:rPr>
              <w:t>对于符合投诉处理条件并决定受理的，向投诉人发出受理通知书，正式受理的时间为收到投诉书的时间。</w:t>
            </w:r>
          </w:p>
        </w:tc>
        <w:tc>
          <w:tcPr>
            <w:tcW w:w="5610" w:type="dxa"/>
            <w:tcBorders>
              <w:top w:val="nil"/>
              <w:bottom w:val="nil"/>
            </w:tcBorders>
          </w:tcPr>
          <w:p>
            <w:pPr>
              <w:ind w:firstLine="420" w:firstLineChars="200"/>
            </w:pPr>
            <w:r>
              <w:rPr>
                <w:rFonts w:hint="eastAsia"/>
              </w:rPr>
              <w:t>第十五条【投诉审查】住房城乡建设行政主管部门收到投诉书后，应当在三个工作日内完成审查，并视情况分别做出以下处理决定</w:t>
            </w:r>
            <w:r>
              <w:rPr>
                <w:rFonts w:hint="eastAsia"/>
                <w:b/>
                <w:bCs/>
              </w:rPr>
              <w:t>，发出投诉审查结果告知书（见附件二）</w:t>
            </w:r>
            <w:r>
              <w:rPr>
                <w:rFonts w:hint="eastAsia"/>
                <w:color w:val="FF0000"/>
              </w:rPr>
              <w:t>：</w:t>
            </w:r>
          </w:p>
          <w:p>
            <w:pPr>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（一）符合投诉处理条件的投诉事项，决定予以受理，受理时间为收到投诉书时间。</w:t>
            </w:r>
          </w:p>
          <w:p>
            <w:pPr>
              <w:ind w:firstLine="420" w:firstLineChars="200"/>
            </w:pPr>
            <w:r>
              <w:rPr>
                <w:rFonts w:hint="eastAsia"/>
                <w:color w:val="FF0000"/>
                <w:bdr w:val="single" w:color="auto" w:sz="4" w:space="0"/>
              </w:rPr>
              <w:t>（一）</w:t>
            </w:r>
            <w:r>
              <w:rPr>
                <w:rFonts w:hint="eastAsia"/>
                <w:b/>
                <w:bCs/>
              </w:rPr>
              <w:t>（二）</w:t>
            </w:r>
            <w:r>
              <w:rPr>
                <w:rFonts w:hint="eastAsia"/>
              </w:rPr>
              <w:t>不符合投诉处理条件的，决定不予受理，并将不予受理的理由书面告知投诉人；</w:t>
            </w:r>
          </w:p>
          <w:p>
            <w:pPr>
              <w:ind w:firstLine="420" w:firstLineChars="200"/>
            </w:pPr>
            <w:r>
              <w:rPr>
                <w:rFonts w:hint="eastAsia"/>
                <w:color w:val="FF0000"/>
                <w:bdr w:val="single" w:color="auto" w:sz="4" w:space="0"/>
              </w:rPr>
              <w:t>（二）</w:t>
            </w:r>
            <w:r>
              <w:rPr>
                <w:rFonts w:hint="eastAsia"/>
                <w:b/>
                <w:bCs/>
              </w:rPr>
              <w:t>（三）</w:t>
            </w:r>
            <w:r>
              <w:rPr>
                <w:rFonts w:hint="eastAsia"/>
              </w:rPr>
              <w:t>对符合投诉处理条件，但不属于本部门受理的投诉，书面告知投诉人向其他行政监督部门提出投诉。</w:t>
            </w:r>
          </w:p>
          <w:p>
            <w:pPr>
              <w:ind w:firstLine="420" w:firstLineChars="200"/>
            </w:pPr>
            <w:r>
              <w:rPr>
                <w:rFonts w:hint="eastAsia"/>
                <w:color w:val="FF0000"/>
                <w:bdr w:val="single" w:color="auto" w:sz="4" w:space="0"/>
              </w:rPr>
              <w:t>对于符合投诉处理条件并决定受理的，向投诉人发出受理通知书，正式受理的时间为收到投诉书的时间。</w:t>
            </w:r>
          </w:p>
        </w:tc>
        <w:tc>
          <w:tcPr>
            <w:tcW w:w="2104" w:type="dxa"/>
            <w:tcBorders>
              <w:top w:val="nil"/>
              <w:bottom w:val="nil"/>
              <w:right w:val="nil"/>
            </w:tcBorders>
          </w:tcPr>
          <w:p>
            <w:pPr>
              <w:ind w:firstLine="420" w:firstLineChars="200"/>
            </w:pPr>
            <w:r>
              <w:rPr>
                <w:rFonts w:hint="eastAsia"/>
              </w:rPr>
              <w:t>在实践中，常常出现一份投诉书反映多个投诉事项，其中：有的投诉事项符合投诉处理条件，有的投诉事项不符合投诉处理条件，有的投诉事项符合投诉处理条件但不属于本部门职责等多种情形并存。为确保投诉人的知情权和规范投诉审查，明晰投诉审查结果，增加投诉审查结果告知书及参考格式，针对投诉事项逐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Borders>
              <w:top w:val="nil"/>
            </w:tcBorders>
          </w:tcPr>
          <w:p>
            <w:pPr>
              <w:ind w:firstLine="420" w:firstLineChars="200"/>
            </w:pPr>
            <w:r>
              <w:rPr>
                <w:rFonts w:hint="eastAsia"/>
              </w:rPr>
              <w:t>第十六条【不予受理情形】有下列情形之一的投诉,不予受理；</w:t>
            </w:r>
          </w:p>
          <w:p>
            <w:pPr>
              <w:ind w:firstLine="420" w:firstLineChars="200"/>
            </w:pPr>
            <w:r>
              <w:rPr>
                <w:rFonts w:hint="eastAsia"/>
              </w:rPr>
              <w:t>（一）投诉人不是所投诉招标投标活动的参与者，或者与投诉项目无任何利害关系；</w:t>
            </w:r>
          </w:p>
          <w:p>
            <w:pPr>
              <w:ind w:firstLine="420" w:firstLineChars="200"/>
            </w:pPr>
            <w:r>
              <w:rPr>
                <w:rFonts w:hint="eastAsia"/>
              </w:rPr>
              <w:t>（二）投诉事项不具体，且未提供有效线索，难以查证的；</w:t>
            </w:r>
          </w:p>
          <w:p>
            <w:pPr>
              <w:ind w:firstLine="420" w:firstLineChars="200"/>
            </w:pPr>
            <w:r>
              <w:rPr>
                <w:rFonts w:hint="eastAsia"/>
              </w:rPr>
              <w:t>（三）投诉书未署具投诉人真实姓名、签字和有效联系方式的；以法人名义投诉的，投诉书未经法定代表人签字并加盖公章的；</w:t>
            </w:r>
          </w:p>
          <w:p>
            <w:pPr>
              <w:ind w:firstLine="420" w:firstLineChars="200"/>
            </w:pPr>
            <w:r>
              <w:rPr>
                <w:rFonts w:hint="eastAsia"/>
              </w:rPr>
              <w:t>（四）超过投诉时效的；</w:t>
            </w:r>
          </w:p>
          <w:p>
            <w:pPr>
              <w:ind w:firstLine="420" w:firstLineChars="200"/>
            </w:pPr>
            <w:r>
              <w:rPr>
                <w:rFonts w:hint="eastAsia"/>
              </w:rPr>
              <w:t>（五）已经作出处理决定，并且投诉人没有提出新的证据；</w:t>
            </w:r>
          </w:p>
          <w:p>
            <w:pPr>
              <w:ind w:firstLine="420" w:firstLineChars="200"/>
            </w:pPr>
            <w:r>
              <w:rPr>
                <w:rFonts w:hint="eastAsia"/>
              </w:rPr>
              <w:t>（六）投诉事项应先提出异议没有提出异议、已进入行政复议或行政诉讼程序的；</w:t>
            </w:r>
          </w:p>
          <w:p>
            <w:pPr>
              <w:ind w:firstLine="420" w:firstLineChars="200"/>
            </w:pPr>
            <w:r>
              <w:rPr>
                <w:rFonts w:hint="eastAsia"/>
              </w:rPr>
              <w:t>（七）法律、法规、规章规定的其他不予受理情形。</w:t>
            </w:r>
          </w:p>
        </w:tc>
        <w:tc>
          <w:tcPr>
            <w:tcW w:w="5610" w:type="dxa"/>
            <w:tcBorders>
              <w:top w:val="nil"/>
            </w:tcBorders>
          </w:tcPr>
          <w:p>
            <w:pPr>
              <w:ind w:firstLine="420" w:firstLineChars="200"/>
            </w:pPr>
            <w:r>
              <w:rPr>
                <w:rFonts w:hint="eastAsia"/>
              </w:rPr>
              <w:t>第十六条【不予受理情形】有下列情形之一的投诉,不予受理；</w:t>
            </w:r>
          </w:p>
          <w:p>
            <w:pPr>
              <w:ind w:firstLine="420" w:firstLineChars="200"/>
            </w:pPr>
            <w:r>
              <w:rPr>
                <w:rFonts w:hint="eastAsia"/>
              </w:rPr>
              <w:t>（一）投诉人不是所投诉招标投标活动的参与者，或者与投诉项目无任何利害关系；</w:t>
            </w:r>
          </w:p>
          <w:p>
            <w:pPr>
              <w:ind w:firstLine="420" w:firstLineChars="200"/>
            </w:pPr>
            <w:r>
              <w:rPr>
                <w:rFonts w:hint="eastAsia"/>
              </w:rPr>
              <w:t>（二）投诉事项不具体，且未提供有效线索，难以查证的；</w:t>
            </w:r>
          </w:p>
          <w:p>
            <w:pPr>
              <w:ind w:firstLine="420" w:firstLineChars="200"/>
            </w:pPr>
            <w:r>
              <w:rPr>
                <w:rFonts w:hint="eastAsia"/>
              </w:rPr>
              <w:t>（三）投诉书未署具投诉人真实姓名、签字和有效联系方式的；以法人名义投诉的，投诉书未经法定代表人</w:t>
            </w:r>
            <w:r>
              <w:rPr>
                <w:rFonts w:hint="eastAsia"/>
                <w:b/>
                <w:bCs/>
              </w:rPr>
              <w:t>或者授权代表</w:t>
            </w:r>
            <w:r>
              <w:rPr>
                <w:rFonts w:hint="eastAsia"/>
              </w:rPr>
              <w:t>签字并加盖公章的；</w:t>
            </w:r>
          </w:p>
          <w:p>
            <w:pPr>
              <w:ind w:firstLine="420" w:firstLineChars="200"/>
            </w:pPr>
            <w:r>
              <w:rPr>
                <w:rFonts w:hint="eastAsia"/>
              </w:rPr>
              <w:t>（四）超过投诉时效的；</w:t>
            </w:r>
          </w:p>
          <w:p>
            <w:pPr>
              <w:ind w:firstLine="420" w:firstLineChars="200"/>
            </w:pPr>
            <w:r>
              <w:rPr>
                <w:rFonts w:hint="eastAsia"/>
              </w:rPr>
              <w:t>（五）已经作出处理决定，并且投诉人没有提出新的证据；</w:t>
            </w:r>
          </w:p>
          <w:p>
            <w:pPr>
              <w:ind w:firstLine="420" w:firstLineChars="200"/>
            </w:pPr>
            <w:r>
              <w:rPr>
                <w:rFonts w:hint="eastAsia"/>
              </w:rPr>
              <w:t>（六）投诉事项应先提出异议没有提出异议、已进入行政复议或行政诉讼程序的；</w:t>
            </w:r>
          </w:p>
          <w:p>
            <w:pPr>
              <w:ind w:firstLine="420" w:firstLineChars="200"/>
            </w:pPr>
            <w:r>
              <w:rPr>
                <w:rFonts w:hint="eastAsia"/>
              </w:rPr>
              <w:t>（七）法律、法规、规章规定的其他不予受理情形。</w:t>
            </w:r>
          </w:p>
        </w:tc>
        <w:tc>
          <w:tcPr>
            <w:tcW w:w="2104" w:type="dxa"/>
            <w:tcBorders>
              <w:top w:val="nil"/>
            </w:tcBorders>
          </w:tcPr>
          <w:p>
            <w:pPr>
              <w:ind w:firstLine="420" w:firstLineChars="200"/>
            </w:pPr>
            <w:r>
              <w:rPr>
                <w:rFonts w:hint="eastAsia"/>
              </w:rPr>
              <w:t>《工程建设项目招标投标活动投诉处理办法》（国家发改委等七部委局令第11号）第七条对投诉人是法人的投诉书签字盖章要求与该办法第十二条的要求不一致，有可能导致投诉受理标准不一，影响投诉处理的公平性。</w:t>
            </w:r>
          </w:p>
          <w:p>
            <w:pPr>
              <w:ind w:firstLine="420" w:firstLineChars="200"/>
            </w:pPr>
            <w:r>
              <w:rPr>
                <w:rFonts w:hint="eastAsia"/>
              </w:rPr>
              <w:t>为统一投诉受理标准和方便企业工作，将“以法人名义投诉的，投诉书未经法定代表人签字并加盖公章的”修改为“以法人名义投诉的，投诉书未经法定代表人或者授权代表签字并加盖公章的”。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第十七条【回避制度】住房城乡建设行政主管部门负责投诉处理的工作人员，有下列情形之一的，应当主动回避：</w:t>
            </w:r>
          </w:p>
          <w:p>
            <w:pPr>
              <w:ind w:firstLine="420" w:firstLineChars="200"/>
            </w:pPr>
            <w:r>
              <w:rPr>
                <w:rFonts w:hint="eastAsia"/>
              </w:rPr>
              <w:t>（一）近亲属是被投诉人、投诉人，或者是被投诉人、投诉人的主要负责人；</w:t>
            </w:r>
          </w:p>
          <w:p>
            <w:pPr>
              <w:ind w:firstLine="420" w:firstLineChars="200"/>
            </w:pPr>
            <w:r>
              <w:rPr>
                <w:rFonts w:hint="eastAsia"/>
              </w:rPr>
              <w:t>（二）在近三年内本人曾经在被投诉人单位担任高级管理职务；</w:t>
            </w:r>
          </w:p>
          <w:p>
            <w:pPr>
              <w:ind w:firstLine="420" w:firstLineChars="200"/>
            </w:pPr>
            <w:r>
              <w:rPr>
                <w:rFonts w:hint="eastAsia"/>
              </w:rPr>
              <w:t>（三）与被投诉人、投诉人有其他利害关系，可能影响对投诉事项公正处理的。</w:t>
            </w:r>
          </w:p>
        </w:tc>
        <w:tc>
          <w:tcPr>
            <w:tcW w:w="5610" w:type="dxa"/>
          </w:tcPr>
          <w:p>
            <w:pPr>
              <w:ind w:firstLine="420" w:firstLineChars="200"/>
            </w:pPr>
            <w:r>
              <w:rPr>
                <w:rFonts w:hint="eastAsia"/>
              </w:rPr>
              <w:t>第十七条【回避制度】住房城乡建设行政主管部门负责投诉处理的工作人员，有下列情形之一的，应当主动回避：</w:t>
            </w:r>
          </w:p>
          <w:p>
            <w:pPr>
              <w:ind w:firstLine="420" w:firstLineChars="200"/>
            </w:pPr>
            <w:r>
              <w:rPr>
                <w:rFonts w:hint="eastAsia"/>
              </w:rPr>
              <w:t>（一）近亲属是被投诉人、投诉人，或者是被投诉人、投诉人的主要负责人；</w:t>
            </w:r>
          </w:p>
          <w:p>
            <w:pPr>
              <w:ind w:firstLine="420" w:firstLineChars="200"/>
            </w:pPr>
            <w:r>
              <w:rPr>
                <w:rFonts w:hint="eastAsia"/>
              </w:rPr>
              <w:t>（二）在近三年内本人曾经在被投诉人单位担任高级管理职务；</w:t>
            </w:r>
          </w:p>
          <w:p>
            <w:pPr>
              <w:ind w:firstLine="420" w:firstLineChars="200"/>
            </w:pPr>
            <w:r>
              <w:rPr>
                <w:rFonts w:hint="eastAsia"/>
              </w:rPr>
              <w:t>（三）与被投诉人、投诉人有其他利害关系，可能影响对投诉事项公正处理的。</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第十八条【投诉调查】住房城乡建设主管部门受理投诉后，应当调取、查阅有关文件，调查、核实有关情况。</w:t>
            </w:r>
          </w:p>
          <w:p>
            <w:pPr>
              <w:ind w:firstLine="420" w:firstLineChars="200"/>
            </w:pPr>
            <w:r>
              <w:rPr>
                <w:rFonts w:hint="eastAsia"/>
              </w:rPr>
              <w:t>对情况复杂、涉及面广的重大投诉事项，可以会同其他有关的行政监督部门进行联合调查，共同研究后做出处理决定。</w:t>
            </w:r>
          </w:p>
        </w:tc>
        <w:tc>
          <w:tcPr>
            <w:tcW w:w="5610" w:type="dxa"/>
          </w:tcPr>
          <w:p>
            <w:pPr>
              <w:ind w:firstLine="420" w:firstLineChars="200"/>
            </w:pPr>
            <w:r>
              <w:rPr>
                <w:rFonts w:hint="eastAsia"/>
              </w:rPr>
              <w:t>第十八条【投诉调查】住房城乡建设主管部门受理投诉后，应当调取、查阅有关文件，调查、核实有关情况。</w:t>
            </w:r>
          </w:p>
          <w:p>
            <w:pPr>
              <w:ind w:firstLine="420" w:firstLineChars="200"/>
            </w:pPr>
            <w:r>
              <w:rPr>
                <w:rFonts w:hint="eastAsia"/>
              </w:rPr>
              <w:t>对情况复杂、涉及面广的重大投诉事项，可以会同其他有关的行政监督部门进行联合调查，共同研究后做出处理决定。</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第十九条【招标暂停】住房城乡建设主管部门处理投诉期间，必要时可以书面通知招标人暂停招标投标活动，并通报项目审批、核准部门。</w:t>
            </w:r>
          </w:p>
          <w:p>
            <w:pPr>
              <w:ind w:firstLine="420" w:firstLineChars="200"/>
            </w:pPr>
            <w:r>
              <w:rPr>
                <w:rFonts w:hint="eastAsia"/>
              </w:rPr>
              <w:t>招标人收到通知后应当立即暂停招标投标活动，投诉受理部门作出处理决定后，恢复招标投标活动。</w:t>
            </w:r>
          </w:p>
        </w:tc>
        <w:tc>
          <w:tcPr>
            <w:tcW w:w="5610" w:type="dxa"/>
          </w:tcPr>
          <w:p>
            <w:pPr>
              <w:ind w:firstLine="420" w:firstLineChars="200"/>
            </w:pPr>
            <w:r>
              <w:rPr>
                <w:rFonts w:hint="eastAsia"/>
              </w:rPr>
              <w:t>第十九条【招标暂停】住房城乡建设主管部门</w:t>
            </w:r>
            <w:r>
              <w:rPr>
                <w:rFonts w:hint="eastAsia"/>
                <w:color w:val="FF0000"/>
                <w:bdr w:val="single" w:color="auto" w:sz="4" w:space="0"/>
              </w:rPr>
              <w:t>处理投诉期间</w:t>
            </w:r>
            <w:r>
              <w:rPr>
                <w:rFonts w:hint="eastAsia"/>
                <w:b/>
                <w:bCs/>
              </w:rPr>
              <w:t>受理投诉后，认为投诉的处理可能影响招标投标活动后续工作的</w:t>
            </w:r>
            <w:r>
              <w:rPr>
                <w:rFonts w:hint="eastAsia"/>
              </w:rPr>
              <w:t>，</w:t>
            </w:r>
            <w:r>
              <w:rPr>
                <w:rFonts w:hint="eastAsia"/>
                <w:color w:val="FF0000"/>
                <w:bdr w:val="single" w:color="auto" w:sz="4" w:space="0"/>
              </w:rPr>
              <w:t>必要时可以书面通知</w:t>
            </w:r>
            <w:r>
              <w:rPr>
                <w:rFonts w:hint="eastAsia"/>
                <w:b/>
                <w:bCs/>
              </w:rPr>
              <w:t>应当向招标人发出招标投标活动暂停通知书（见附件三），</w:t>
            </w:r>
            <w:r>
              <w:rPr>
                <w:rFonts w:hint="eastAsia"/>
                <w:color w:val="FF0000"/>
                <w:bdr w:val="single" w:color="auto" w:sz="4" w:space="0"/>
              </w:rPr>
              <w:t>招标人</w:t>
            </w:r>
            <w:r>
              <w:rPr>
                <w:rFonts w:hint="eastAsia"/>
              </w:rPr>
              <w:t>暂停招标投标活动，</w:t>
            </w:r>
            <w:r>
              <w:rPr>
                <w:rFonts w:hint="eastAsia"/>
                <w:color w:val="FF0000"/>
                <w:bdr w:val="single" w:color="auto" w:sz="4" w:space="0"/>
              </w:rPr>
              <w:t>并</w:t>
            </w:r>
            <w:r>
              <w:rPr>
                <w:rFonts w:hint="eastAsia"/>
                <w:b/>
                <w:bCs/>
              </w:rPr>
              <w:t>必要时</w:t>
            </w:r>
            <w:r>
              <w:rPr>
                <w:rFonts w:hint="eastAsia"/>
              </w:rPr>
              <w:t>通报项目审批、核准部门。</w:t>
            </w:r>
          </w:p>
          <w:p>
            <w:pPr>
              <w:ind w:firstLine="420" w:firstLineChars="200"/>
            </w:pPr>
            <w:r>
              <w:rPr>
                <w:rFonts w:hint="eastAsia"/>
              </w:rPr>
              <w:t>招标人收到</w:t>
            </w:r>
            <w:r>
              <w:rPr>
                <w:rFonts w:hint="eastAsia"/>
                <w:b/>
                <w:bCs/>
              </w:rPr>
              <w:t>招标投标活动暂停通知书</w:t>
            </w:r>
            <w:r>
              <w:rPr>
                <w:rFonts w:hint="eastAsia"/>
              </w:rPr>
              <w:t>后应当立即暂停招标投标活动，</w:t>
            </w:r>
            <w:r>
              <w:rPr>
                <w:rFonts w:hint="eastAsia"/>
                <w:b/>
                <w:bCs/>
              </w:rPr>
              <w:t>待</w:t>
            </w:r>
            <w:r>
              <w:rPr>
                <w:rFonts w:hint="eastAsia"/>
              </w:rPr>
              <w:t>投诉受理部门作出处理决定后，恢复招标投标活动。</w:t>
            </w:r>
          </w:p>
        </w:tc>
        <w:tc>
          <w:tcPr>
            <w:tcW w:w="2104" w:type="dxa"/>
          </w:tcPr>
          <w:p>
            <w:pPr>
              <w:ind w:firstLine="420" w:firstLineChars="200"/>
            </w:pPr>
            <w:r>
              <w:rPr>
                <w:rFonts w:hint="eastAsia"/>
              </w:rPr>
              <w:t>具体明确暂停和恢复招标投标活动的条件。</w:t>
            </w:r>
          </w:p>
          <w:p>
            <w:pPr>
              <w:ind w:firstLine="420" w:firstLineChars="200"/>
            </w:pPr>
            <w:r>
              <w:rPr>
                <w:rFonts w:hint="eastAsia"/>
              </w:rPr>
              <w:t>为规范招标投标活动暂停工作，增加招标投标活动暂停通知书及参考格式。</w:t>
            </w:r>
          </w:p>
          <w:p>
            <w:pPr>
              <w:ind w:firstLine="420" w:firstLineChars="200"/>
            </w:pPr>
            <w:r>
              <w:rPr>
                <w:rFonts w:hint="eastAsia"/>
              </w:rPr>
              <w:t>在实践中，暂停招标投标活动常常未通报项目审批、核准部门，因此修订为“必要时通报项目审批、核准部门”。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第二十条【取证要求】住房城乡建设主管部门调查取证时，应当由两名以上行政执法人员进行，并做笔录，交被调查人签字确认。</w:t>
            </w:r>
          </w:p>
        </w:tc>
        <w:tc>
          <w:tcPr>
            <w:tcW w:w="5610" w:type="dxa"/>
          </w:tcPr>
          <w:p>
            <w:pPr>
              <w:ind w:firstLine="420" w:firstLineChars="200"/>
            </w:pPr>
            <w:r>
              <w:rPr>
                <w:rFonts w:hint="eastAsia"/>
              </w:rPr>
              <w:t>第二十条【取证要求】住房城乡建设主管部门调查取证时，应当由两名以上行政执法人员进行，并做笔录，交被调查人签字确认。</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第二十一条【陈述申辩质证】在投诉处理过程中，住房城乡建设主管部门应当听取被投诉人的陈述和申辩，必要时可通知投诉人和被投诉人进行质证。</w:t>
            </w:r>
          </w:p>
        </w:tc>
        <w:tc>
          <w:tcPr>
            <w:tcW w:w="5610" w:type="dxa"/>
          </w:tcPr>
          <w:p>
            <w:pPr>
              <w:ind w:firstLine="420" w:firstLineChars="200"/>
            </w:pPr>
            <w:r>
              <w:rPr>
                <w:rFonts w:hint="eastAsia"/>
              </w:rPr>
              <w:t>第二十一条【陈述申辩质证】在投诉处理过程中，住房城乡建设主管部门应当</w:t>
            </w:r>
            <w:r>
              <w:rPr>
                <w:rFonts w:hint="eastAsia"/>
                <w:b/>
                <w:bCs/>
              </w:rPr>
              <w:t>发出《关于对招标投标活动投诉事项予以陈述和申辩的函》（见附件四），</w:t>
            </w:r>
            <w:r>
              <w:rPr>
                <w:rFonts w:hint="eastAsia"/>
              </w:rPr>
              <w:t>听取被投诉人的陈述和申辩，必要时可通知投诉人和被投诉人进行质证。</w:t>
            </w:r>
          </w:p>
          <w:p>
            <w:pPr>
              <w:ind w:firstLine="420" w:firstLineChars="200"/>
            </w:pPr>
          </w:p>
        </w:tc>
        <w:tc>
          <w:tcPr>
            <w:tcW w:w="2104" w:type="dxa"/>
          </w:tcPr>
          <w:p>
            <w:pPr>
              <w:ind w:firstLine="420" w:firstLineChars="200"/>
            </w:pPr>
            <w:r>
              <w:rPr>
                <w:rFonts w:hint="eastAsia"/>
              </w:rPr>
              <w:t>增加住房城乡建设主管部门在投诉处理过程中，应当听取被投诉人的陈述和申辩的方式，强化投诉处理程序。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第二十二条【调查配合】住房城乡建设主管部门依法进行的调查，投诉人、被投诉人以及评标委员会成员等与投诉事项有关的当事人应当予以配合，如实提供有关资料及情况，不得拒绝、隐匿或伪报。</w:t>
            </w:r>
          </w:p>
        </w:tc>
        <w:tc>
          <w:tcPr>
            <w:tcW w:w="5610" w:type="dxa"/>
          </w:tcPr>
          <w:p>
            <w:pPr>
              <w:ind w:firstLine="420" w:firstLineChars="200"/>
            </w:pPr>
            <w:r>
              <w:rPr>
                <w:rFonts w:hint="eastAsia"/>
              </w:rPr>
              <w:t>第二十二条【调查配合】住房城乡建设主管部门依法进行的调查，投诉人、被投诉人以及评标委员会成员等与投诉事项有关的当事人应当予以配合，如实提供有关资料及情况，不得拒绝、隐匿或伪报。</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三条【保密规定】住房城乡建设主管部门负责处理投诉的人员应当严格遵守保密规定，对在投诉处理过程中所接触到的国家秘密、商业秘密应当予以保密，也不得将投诉事项透露给与投诉无关的其他单位和个人。</w:t>
            </w:r>
          </w:p>
        </w:tc>
        <w:tc>
          <w:tcPr>
            <w:tcW w:w="5610" w:type="dxa"/>
          </w:tcPr>
          <w:p>
            <w:pPr>
              <w:ind w:firstLine="560"/>
            </w:pPr>
            <w:r>
              <w:rPr>
                <w:rFonts w:hint="eastAsia"/>
              </w:rPr>
              <w:t>第二十三条【保密规定】住房城乡建设主管部门负责处理投诉的人员应当严格遵守保密规定，对在投诉处理过程中所接触到的国家秘密、商业秘密应当予以保密，也不得将投诉事项</w:t>
            </w:r>
            <w:r>
              <w:rPr>
                <w:rFonts w:hint="eastAsia"/>
                <w:b/>
                <w:bCs/>
              </w:rPr>
              <w:t>、投诉调查方案、调查信息、研究情况等</w:t>
            </w:r>
            <w:r>
              <w:rPr>
                <w:rFonts w:hint="eastAsia"/>
              </w:rPr>
              <w:t>透露给与投诉无关的其他单位和个人。</w:t>
            </w:r>
          </w:p>
        </w:tc>
        <w:tc>
          <w:tcPr>
            <w:tcW w:w="2104" w:type="dxa"/>
          </w:tcPr>
          <w:p>
            <w:pPr>
              <w:ind w:firstLine="420" w:firstLineChars="200"/>
            </w:pPr>
            <w:r>
              <w:rPr>
                <w:rFonts w:hint="eastAsia"/>
              </w:rPr>
              <w:t>在实践中，常常投诉调查取证受到外部干扰，影响工作效率。为此，为减少投诉处理干扰和提高行政效率，修订增加“不得将投诉调查方案、调查信息、研究情况等”透露给与投诉无关的其他单位和个人。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5574" w:type="dxa"/>
          </w:tcPr>
          <w:p>
            <w:pPr>
              <w:ind w:firstLine="420" w:firstLineChars="200"/>
            </w:pPr>
            <w:r>
              <w:rPr>
                <w:rFonts w:hint="eastAsia"/>
              </w:rPr>
              <w:t>第二十四条【投诉撤回】投诉处理决定做出前，投诉人要求撤回投诉的，应当以书面形式提出并说明理由，住房城乡建设主管部门视以下情况，决定是否准予撤回：</w:t>
            </w:r>
          </w:p>
          <w:p>
            <w:pPr>
              <w:ind w:firstLine="420" w:firstLineChars="200"/>
            </w:pPr>
            <w:r>
              <w:rPr>
                <w:rFonts w:hint="eastAsia"/>
              </w:rPr>
              <w:t>（一）已经查实有明显违法行为的，应当不准撤回，并继续查处直至做出处理决定；</w:t>
            </w:r>
          </w:p>
          <w:p>
            <w:pPr>
              <w:ind w:firstLine="420" w:firstLineChars="200"/>
            </w:pPr>
            <w:r>
              <w:rPr>
                <w:rFonts w:hint="eastAsia"/>
              </w:rPr>
              <w:t>（二）撤回投诉不损害国家利益、社会公共利益或其他当事人合法权益的，应当准予撤回，投诉处理过程终止。投诉人不得以同一事实和理由再提出投诉。</w:t>
            </w:r>
          </w:p>
        </w:tc>
        <w:tc>
          <w:tcPr>
            <w:tcW w:w="5610" w:type="dxa"/>
          </w:tcPr>
          <w:p>
            <w:pPr>
              <w:ind w:firstLine="420" w:firstLineChars="200"/>
            </w:pPr>
            <w:r>
              <w:rPr>
                <w:rFonts w:hint="eastAsia"/>
              </w:rPr>
              <w:t>第二十四条【投诉撤回】投诉处理决定做出前，投诉人要求撤回投诉的，应当以书面形式提出并说明理由，住房城乡建设主管部门视以下情况，决定是否准予撤回：</w:t>
            </w:r>
          </w:p>
          <w:p>
            <w:pPr>
              <w:ind w:firstLine="420" w:firstLineChars="200"/>
            </w:pPr>
            <w:r>
              <w:rPr>
                <w:rFonts w:hint="eastAsia"/>
              </w:rPr>
              <w:t>（一）已经查实有明显违法行为的，应当不准撤回，并继续查处直至做出处理决定；</w:t>
            </w:r>
          </w:p>
          <w:p>
            <w:pPr>
              <w:ind w:firstLine="420" w:firstLineChars="200"/>
            </w:pPr>
            <w:r>
              <w:rPr>
                <w:rFonts w:hint="eastAsia"/>
              </w:rPr>
              <w:t>（二）撤回投诉不损害国家利益、社会公共利益或其他当事人合法权益的，应当准予撤回，投诉处理过程终止。投诉人不得以同一事实和理由再提出投诉</w:t>
            </w:r>
            <w:r>
              <w:rPr>
                <w:rFonts w:hint="eastAsia"/>
                <w:color w:val="FF0000"/>
              </w:rPr>
              <w:t>。</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第二十五条【处理决定】住房城乡建设主管部门应当根据调查和取证情况，对投诉事项进行审查，按照下列规定做出处理决定：</w:t>
            </w:r>
          </w:p>
          <w:p>
            <w:pPr>
              <w:ind w:firstLine="420" w:firstLineChars="200"/>
            </w:pPr>
            <w:r>
              <w:rPr>
                <w:rFonts w:hint="eastAsia"/>
              </w:rPr>
              <w:t>（一）投诉缺乏事实根据或者法律依据的，或者投诉人捏造事实、伪造材料或者以非法手段取得证明材料进行投诉的，驳回投诉；</w:t>
            </w:r>
          </w:p>
          <w:p>
            <w:pPr>
              <w:ind w:firstLine="420" w:firstLineChars="200"/>
            </w:pPr>
            <w:r>
              <w:rPr>
                <w:rFonts w:hint="eastAsia"/>
              </w:rPr>
              <w:t>（二）投诉情况属实，招标投标活动确实存在违法行为的，依据《中华人民共和国招标投标法》、《中华人民共和国招标投标法实施条例》及其他有关法律、法规、规章作出处罚；</w:t>
            </w:r>
          </w:p>
          <w:p>
            <w:pPr>
              <w:ind w:firstLine="420" w:firstLineChars="200"/>
            </w:pPr>
            <w:r>
              <w:rPr>
                <w:rFonts w:hint="eastAsia"/>
              </w:rPr>
              <w:t>（三）违反资格预审文件（含资格预审公告）、招标文件（含招标公告）等情形的，依法作出处理。</w:t>
            </w:r>
          </w:p>
        </w:tc>
        <w:tc>
          <w:tcPr>
            <w:tcW w:w="5610" w:type="dxa"/>
          </w:tcPr>
          <w:p>
            <w:pPr>
              <w:ind w:firstLine="420" w:firstLineChars="200"/>
            </w:pPr>
            <w:r>
              <w:rPr>
                <w:rFonts w:hint="eastAsia"/>
              </w:rPr>
              <w:t>第二十五条【处理决定】住房城乡建设主管部门应当根据调查和取证情况，对投诉事项进行审查，按照下列规定做出处理决定：</w:t>
            </w:r>
          </w:p>
          <w:p>
            <w:pPr>
              <w:ind w:firstLine="420" w:firstLineChars="200"/>
            </w:pPr>
            <w:r>
              <w:rPr>
                <w:rFonts w:hint="eastAsia"/>
              </w:rPr>
              <w:t>（一）投诉缺乏事实根据或者法律依据的，或者投诉人捏造事实、伪造材料或者以非法手段取得证明材料进行投诉的，驳回投诉；</w:t>
            </w:r>
          </w:p>
          <w:p>
            <w:pPr>
              <w:ind w:firstLine="420" w:firstLineChars="200"/>
            </w:pPr>
            <w:r>
              <w:rPr>
                <w:rFonts w:hint="eastAsia"/>
              </w:rPr>
              <w:t>（二）投诉情况属实，招标投标活动确实存在违法行为的，依据《中华人民共和国招标投标法》、《中华人民共和国招标投标法实施条例》及其他有关法律、法规、规章作出处罚；</w:t>
            </w:r>
          </w:p>
          <w:p>
            <w:pPr>
              <w:ind w:firstLine="420" w:firstLineChars="200"/>
            </w:pPr>
            <w:r>
              <w:rPr>
                <w:rFonts w:hint="eastAsia"/>
              </w:rPr>
              <w:t>（三）</w:t>
            </w:r>
            <w:r>
              <w:rPr>
                <w:rFonts w:hint="eastAsia"/>
                <w:b/>
                <w:bCs/>
              </w:rPr>
              <w:t>投诉情况属实，投标人不存在违法行为仅</w:t>
            </w:r>
            <w:r>
              <w:rPr>
                <w:rFonts w:hint="eastAsia"/>
              </w:rPr>
              <w:t>违反资格预审文件</w:t>
            </w:r>
            <w:r>
              <w:rPr>
                <w:rFonts w:hint="eastAsia"/>
                <w:color w:val="FF0000"/>
                <w:bdr w:val="single" w:color="auto" w:sz="4" w:space="0"/>
              </w:rPr>
              <w:t>（含资格预审公告）</w:t>
            </w:r>
            <w:r>
              <w:rPr>
                <w:rFonts w:hint="eastAsia"/>
              </w:rPr>
              <w:t>、招标文件</w:t>
            </w:r>
            <w:r>
              <w:rPr>
                <w:rFonts w:hint="eastAsia"/>
                <w:color w:val="FF0000"/>
                <w:bdr w:val="single" w:color="auto" w:sz="4" w:space="0"/>
              </w:rPr>
              <w:t>（含招标公告）等情形</w:t>
            </w:r>
            <w:r>
              <w:rPr>
                <w:rFonts w:hint="eastAsia"/>
                <w:b/>
                <w:bCs/>
              </w:rPr>
              <w:t>有关规定</w:t>
            </w:r>
            <w:r>
              <w:rPr>
                <w:rFonts w:hint="eastAsia"/>
              </w:rPr>
              <w:t>的，</w:t>
            </w:r>
            <w:r>
              <w:rPr>
                <w:rFonts w:hint="eastAsia"/>
                <w:b/>
                <w:bCs/>
              </w:rPr>
              <w:t>由招标人依据资格预审文件、招标文件</w:t>
            </w:r>
            <w:r>
              <w:rPr>
                <w:rFonts w:hint="eastAsia"/>
                <w:color w:val="FF0000"/>
                <w:bdr w:val="single" w:color="auto" w:sz="4" w:space="0"/>
              </w:rPr>
              <w:t>依法</w:t>
            </w:r>
            <w:r>
              <w:rPr>
                <w:rFonts w:hint="eastAsia"/>
              </w:rPr>
              <w:t>作出处理。</w:t>
            </w:r>
          </w:p>
        </w:tc>
        <w:tc>
          <w:tcPr>
            <w:tcW w:w="2104" w:type="dxa"/>
          </w:tcPr>
          <w:p>
            <w:pPr>
              <w:ind w:firstLine="420" w:firstLineChars="200"/>
            </w:pPr>
            <w:r>
              <w:rPr>
                <w:rFonts w:hint="eastAsia"/>
              </w:rPr>
              <w:t>为进一步落实招标人在招标投标活动中的主体责任，对第三项内容予以修改，明确投标人仅违反资格预审文件、招标文件有关规定的，由招标人行使民事行为的主体资格权利。</w:t>
            </w:r>
          </w:p>
          <w:p>
            <w:pPr>
              <w:ind w:firstLine="420" w:firstLineChars="200"/>
            </w:pPr>
            <w:r>
              <w:rPr>
                <w:rFonts w:hint="eastAsia"/>
              </w:rPr>
              <w:t>删除（含资格预审公告）和（含招标公告），因分别属于资格预审文件和招标文件的组成部分。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六条【处理时限】住房城乡建设主管部门应当自受理投诉之日起三十个工作日内，对投诉事项作出处理决定，并以书面形式通知投诉人、被投诉人和其他与投诉处理结果有关的当事人。需要检验、检测、鉴定、专家评审的，所需时间不计算在内。</w:t>
            </w:r>
          </w:p>
        </w:tc>
        <w:tc>
          <w:tcPr>
            <w:tcW w:w="5610" w:type="dxa"/>
          </w:tcPr>
          <w:p>
            <w:pPr>
              <w:ind w:firstLine="420" w:firstLineChars="200"/>
            </w:pPr>
            <w:r>
              <w:rPr>
                <w:rFonts w:hint="eastAsia"/>
              </w:rPr>
              <w:t>第二十六条【处理时限】住房城乡建设主管部门应当自受理投诉之日起三十个工作日内，对投诉事项作出处理决定，并以书面形式通知投诉人、被投诉人和其他与投诉处理结果有关的当事人。需要检验、检测、鉴定、专家评审的，所需时间不计算在内。</w:t>
            </w:r>
          </w:p>
          <w:p>
            <w:pPr>
              <w:ind w:firstLine="422" w:firstLineChars="200"/>
              <w:rPr>
                <w:b/>
                <w:bCs/>
              </w:rPr>
            </w:pPr>
            <w:r>
              <w:rPr>
                <w:rFonts w:hint="eastAsia"/>
                <w:b/>
                <w:bCs/>
              </w:rPr>
              <w:t>处理决定送达：通知当事人到承办机构领取处理决定并做好签收记录，不能及时领取的，通过邮件或快递方式送达并做好证据保存。</w:t>
            </w:r>
          </w:p>
        </w:tc>
        <w:tc>
          <w:tcPr>
            <w:tcW w:w="2104" w:type="dxa"/>
          </w:tcPr>
          <w:p>
            <w:pPr>
              <w:ind w:firstLine="420" w:firstLineChars="200"/>
            </w:pPr>
            <w:r>
              <w:rPr>
                <w:rFonts w:hint="eastAsia"/>
              </w:rPr>
              <w:t>为确保投诉处理决定有效送达，修订增加了“处理决定送达”的具体规定。同时，为减少处理决定未有效送达的败诉风险，强调处理决定送达证据保存。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第二十七条【处理决定内容】投诉处理决定应当包括下列主要内容：</w:t>
            </w:r>
          </w:p>
          <w:p>
            <w:pPr>
              <w:ind w:firstLine="420" w:firstLineChars="200"/>
            </w:pPr>
            <w:r>
              <w:rPr>
                <w:rFonts w:hint="eastAsia"/>
              </w:rPr>
              <w:t>（一）投诉人和被投诉人的名称、住址；</w:t>
            </w:r>
          </w:p>
          <w:p>
            <w:pPr>
              <w:ind w:firstLine="420" w:firstLineChars="200"/>
            </w:pPr>
            <w:r>
              <w:rPr>
                <w:rFonts w:hint="eastAsia"/>
              </w:rPr>
              <w:t>（二）投诉人的投诉事项及主张；</w:t>
            </w:r>
          </w:p>
          <w:p>
            <w:pPr>
              <w:ind w:firstLine="420" w:firstLineChars="200"/>
            </w:pPr>
            <w:r>
              <w:rPr>
                <w:rFonts w:hint="eastAsia"/>
              </w:rPr>
              <w:t>（三）被投诉人的答辩及请求；</w:t>
            </w:r>
          </w:p>
          <w:p>
            <w:pPr>
              <w:ind w:firstLine="420" w:firstLineChars="200"/>
            </w:pPr>
            <w:r>
              <w:rPr>
                <w:rFonts w:hint="eastAsia"/>
              </w:rPr>
              <w:t>（四）调查认定的基本事实；</w:t>
            </w:r>
          </w:p>
          <w:p>
            <w:pPr>
              <w:ind w:firstLine="420" w:firstLineChars="200"/>
            </w:pPr>
            <w:r>
              <w:rPr>
                <w:rFonts w:hint="eastAsia"/>
              </w:rPr>
              <w:t>（五）处理意见及依据。</w:t>
            </w:r>
          </w:p>
        </w:tc>
        <w:tc>
          <w:tcPr>
            <w:tcW w:w="5610" w:type="dxa"/>
          </w:tcPr>
          <w:p>
            <w:pPr>
              <w:ind w:firstLine="420" w:firstLineChars="200"/>
            </w:pPr>
            <w:r>
              <w:rPr>
                <w:rFonts w:hint="eastAsia"/>
              </w:rPr>
              <w:t>第二十七条【处理决定内容】投诉处理决定应当包括下列主要内容：</w:t>
            </w:r>
          </w:p>
          <w:p>
            <w:pPr>
              <w:ind w:firstLine="420" w:firstLineChars="200"/>
            </w:pPr>
            <w:r>
              <w:rPr>
                <w:rFonts w:hint="eastAsia"/>
              </w:rPr>
              <w:t>（一）投诉人和被投诉人的名称、住址；</w:t>
            </w:r>
          </w:p>
          <w:p>
            <w:pPr>
              <w:ind w:firstLine="420" w:firstLineChars="200"/>
            </w:pPr>
            <w:r>
              <w:rPr>
                <w:rFonts w:hint="eastAsia"/>
              </w:rPr>
              <w:t>（二）投诉人的投诉事项及主张；</w:t>
            </w:r>
          </w:p>
          <w:p>
            <w:pPr>
              <w:ind w:firstLine="420" w:firstLineChars="200"/>
            </w:pPr>
            <w:r>
              <w:rPr>
                <w:rFonts w:hint="eastAsia"/>
              </w:rPr>
              <w:t>（三）被投诉人的答辩及请求；</w:t>
            </w:r>
          </w:p>
          <w:p>
            <w:pPr>
              <w:ind w:firstLine="420" w:firstLineChars="200"/>
            </w:pPr>
            <w:r>
              <w:rPr>
                <w:rFonts w:hint="eastAsia"/>
              </w:rPr>
              <w:t>（四）调查认定的基本事实；</w:t>
            </w:r>
          </w:p>
          <w:p>
            <w:pPr>
              <w:ind w:firstLine="420" w:firstLineChars="200"/>
            </w:pPr>
            <w:r>
              <w:rPr>
                <w:rFonts w:hint="eastAsia"/>
              </w:rPr>
              <w:t>（五）处理意见及依据；</w:t>
            </w:r>
          </w:p>
          <w:p>
            <w:pPr>
              <w:ind w:firstLine="422" w:firstLineChars="200"/>
            </w:pPr>
            <w:r>
              <w:rPr>
                <w:rFonts w:hint="eastAsia"/>
                <w:b/>
                <w:bCs/>
              </w:rPr>
              <w:t>（六）法律救济途径。</w:t>
            </w:r>
          </w:p>
        </w:tc>
        <w:tc>
          <w:tcPr>
            <w:tcW w:w="2104" w:type="dxa"/>
          </w:tcPr>
          <w:p>
            <w:pPr>
              <w:ind w:firstLine="420" w:firstLineChars="200"/>
            </w:pPr>
            <w:r>
              <w:rPr>
                <w:rFonts w:hint="eastAsia"/>
              </w:rPr>
              <w:t>在实践中，因受投诉处理时限影响，对涉嫌违法违规行为按照行政处罚程序常常不能完成行政处罚决定，因此投诉处理决定一般不包含行政处罚内容。</w:t>
            </w:r>
          </w:p>
          <w:p>
            <w:pPr>
              <w:ind w:firstLine="420" w:firstLineChars="200"/>
            </w:pPr>
            <w:r>
              <w:rPr>
                <w:rFonts w:hint="eastAsia"/>
              </w:rPr>
              <w:t>为规范投诉处理，防止投诉处理决定内容遗漏告知当事人的法律救济途径，为此，增加“法律救济途径”内容。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第二十八条【法律救济】当事人对投诉处理决定不服或者逾期未做出处理决定的，可以依法申请行政复议或者向人民法院提起行政诉讼。</w:t>
            </w:r>
          </w:p>
        </w:tc>
        <w:tc>
          <w:tcPr>
            <w:tcW w:w="5610" w:type="dxa"/>
          </w:tcPr>
          <w:p>
            <w:pPr>
              <w:ind w:firstLine="420" w:firstLineChars="200"/>
            </w:pPr>
            <w:r>
              <w:rPr>
                <w:rFonts w:hint="eastAsia"/>
              </w:rPr>
              <w:t>第二十八条【法律救济】当事人对</w:t>
            </w:r>
            <w:r>
              <w:rPr>
                <w:rFonts w:hint="eastAsia"/>
                <w:b/>
                <w:bCs/>
              </w:rPr>
              <w:t>行政监督部门的</w:t>
            </w:r>
            <w:r>
              <w:rPr>
                <w:rFonts w:hint="eastAsia"/>
              </w:rPr>
              <w:t>投诉处理决定不服或者</w:t>
            </w:r>
            <w:r>
              <w:rPr>
                <w:rFonts w:hint="eastAsia"/>
                <w:b/>
                <w:bCs/>
              </w:rPr>
              <w:t>行政监督部门</w:t>
            </w:r>
            <w:r>
              <w:rPr>
                <w:rFonts w:hint="eastAsia"/>
              </w:rPr>
              <w:t>逾期未做出处理决定的，可以依法申请行政复议或者向人民法院提起行政诉讼。</w:t>
            </w:r>
          </w:p>
        </w:tc>
        <w:tc>
          <w:tcPr>
            <w:tcW w:w="2104" w:type="dxa"/>
          </w:tcPr>
          <w:p>
            <w:r>
              <w:rPr>
                <w:rFonts w:hint="eastAsia"/>
              </w:rPr>
              <w:t>明确投诉处理的主体，增加“行政监督部门”。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二十九条【联动机制】建立招标投标行政监督部门联动机制，在处理投诉过程中，对调查中发现存在严重违法违规问题的，应通报项目审批、核准部门，对严重违法违纪案件应及时移送监察机关。建立行政执法与刑事责任追究衔接机制，涉嫌犯罪的，应及时移送司法机关。</w:t>
            </w:r>
          </w:p>
        </w:tc>
        <w:tc>
          <w:tcPr>
            <w:tcW w:w="5610" w:type="dxa"/>
          </w:tcPr>
          <w:p>
            <w:pPr>
              <w:ind w:firstLine="420" w:firstLineChars="200"/>
            </w:pPr>
            <w:r>
              <w:rPr>
                <w:rFonts w:hint="eastAsia"/>
              </w:rPr>
              <w:t>第二十九条【联动机制】建立招标投标行政监督部门联动机制，在处理投诉过程中，对调查中发现存在严重违法违规问题的，应通报项目审批、核准部门，对严重违法违纪案件应及时移送监察机关。建立行政执法与刑事责任追究衔接机制，涉嫌犯罪的，应及时移送司法机关。</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第三十条【档案管理】住房城乡建设行政主管部门应当建立投诉处理档案，并做好保存和管理工作，接受有关方面的监督检查。</w:t>
            </w:r>
          </w:p>
        </w:tc>
        <w:tc>
          <w:tcPr>
            <w:tcW w:w="5610" w:type="dxa"/>
          </w:tcPr>
          <w:p>
            <w:pPr>
              <w:ind w:firstLine="420" w:firstLineChars="200"/>
            </w:pPr>
            <w:r>
              <w:rPr>
                <w:rFonts w:hint="eastAsia"/>
              </w:rPr>
              <w:t>第三十条【档案管理】住房城乡建设行政主管部门应当建立投诉处理档案，并做好保存和管理工作，接受有关方面的监督检查。</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第三十一条【工作纪律】受理、调查和处理投诉有关的人员必须遵守纪律、依法办事、廉洁自律，不得有以下行为：</w:t>
            </w:r>
          </w:p>
          <w:p>
            <w:pPr>
              <w:ind w:firstLine="420" w:firstLineChars="200"/>
            </w:pPr>
            <w:r>
              <w:rPr>
                <w:rFonts w:hint="eastAsia"/>
              </w:rPr>
              <w:t>（一）以任何方式非法干涉投诉受理、调查、处理活动；</w:t>
            </w:r>
          </w:p>
          <w:p>
            <w:pPr>
              <w:ind w:firstLine="420" w:firstLineChars="200"/>
            </w:pPr>
            <w:r>
              <w:rPr>
                <w:rFonts w:hint="eastAsia"/>
              </w:rPr>
              <w:t>（二）徇私舞弊、滥用职权或者玩忽职守；</w:t>
            </w:r>
          </w:p>
          <w:p>
            <w:pPr>
              <w:ind w:firstLine="420" w:firstLineChars="200"/>
            </w:pPr>
            <w:r>
              <w:rPr>
                <w:rFonts w:hint="eastAsia"/>
              </w:rPr>
              <w:t>（三）泄露依法应当保密的资料或情况；</w:t>
            </w:r>
          </w:p>
          <w:p>
            <w:pPr>
              <w:ind w:firstLine="420" w:firstLineChars="200"/>
            </w:pPr>
            <w:r>
              <w:rPr>
                <w:rFonts w:hint="eastAsia"/>
              </w:rPr>
              <w:t>（四）隐瞒、压制、截留、撤换、拖延投诉信息或调查事实及情况；</w:t>
            </w:r>
          </w:p>
          <w:p>
            <w:pPr>
              <w:ind w:firstLine="420" w:firstLineChars="200"/>
            </w:pPr>
            <w:r>
              <w:rPr>
                <w:rFonts w:hint="eastAsia"/>
              </w:rPr>
              <w:t>（五）受利害关系人委托，威胁、利诱投诉人撤诉；</w:t>
            </w:r>
          </w:p>
          <w:p>
            <w:pPr>
              <w:ind w:firstLine="420" w:firstLineChars="200"/>
            </w:pPr>
            <w:r>
              <w:rPr>
                <w:rFonts w:hint="eastAsia"/>
              </w:rPr>
              <w:t>（六）索要、收受投诉人、被投诉人或中间人的财物；</w:t>
            </w:r>
          </w:p>
          <w:p>
            <w:pPr>
              <w:ind w:firstLine="420" w:firstLineChars="200"/>
            </w:pPr>
            <w:r>
              <w:rPr>
                <w:rFonts w:hint="eastAsia"/>
              </w:rPr>
              <w:t>（七）利用工作之便为自己或者他人谋取私利；</w:t>
            </w:r>
          </w:p>
          <w:p>
            <w:pPr>
              <w:ind w:firstLine="420" w:firstLineChars="200"/>
            </w:pPr>
            <w:r>
              <w:rPr>
                <w:rFonts w:hint="eastAsia"/>
              </w:rPr>
              <w:t>（八）违反法律、法规、规章的其他行为。</w:t>
            </w:r>
          </w:p>
        </w:tc>
        <w:tc>
          <w:tcPr>
            <w:tcW w:w="5610" w:type="dxa"/>
          </w:tcPr>
          <w:p>
            <w:pPr>
              <w:ind w:firstLine="420" w:firstLineChars="200"/>
            </w:pPr>
            <w:r>
              <w:rPr>
                <w:rFonts w:hint="eastAsia"/>
              </w:rPr>
              <w:t>第三十一条【工作纪律】受理、调查和处理投诉有关的人员必须遵守纪律、依法办事、廉洁自律，不得有以下行为：</w:t>
            </w:r>
          </w:p>
          <w:p>
            <w:pPr>
              <w:ind w:firstLine="420" w:firstLineChars="200"/>
            </w:pPr>
            <w:r>
              <w:rPr>
                <w:rFonts w:hint="eastAsia"/>
              </w:rPr>
              <w:t>（一）以任何方式非法干涉投诉受理、调查、处理活动；</w:t>
            </w:r>
          </w:p>
          <w:p>
            <w:pPr>
              <w:ind w:firstLine="420" w:firstLineChars="200"/>
            </w:pPr>
            <w:r>
              <w:rPr>
                <w:rFonts w:hint="eastAsia"/>
              </w:rPr>
              <w:t>（二）徇私舞弊、滥用职权或者玩忽职守；</w:t>
            </w:r>
          </w:p>
          <w:p>
            <w:pPr>
              <w:ind w:firstLine="420" w:firstLineChars="200"/>
            </w:pPr>
            <w:r>
              <w:rPr>
                <w:rFonts w:hint="eastAsia"/>
              </w:rPr>
              <w:t>（三）泄露依法应当保密的资料或情况；</w:t>
            </w:r>
          </w:p>
          <w:p>
            <w:pPr>
              <w:ind w:firstLine="420" w:firstLineChars="200"/>
            </w:pPr>
            <w:r>
              <w:rPr>
                <w:rFonts w:hint="eastAsia"/>
              </w:rPr>
              <w:t>（四）隐瞒、压制、截留、撤换、拖延投诉信息或调查事实及情况；</w:t>
            </w:r>
          </w:p>
          <w:p>
            <w:pPr>
              <w:ind w:firstLine="420" w:firstLineChars="200"/>
            </w:pPr>
            <w:r>
              <w:rPr>
                <w:rFonts w:hint="eastAsia"/>
              </w:rPr>
              <w:t>（五）受利害关系人委托，威胁、利诱投诉人撤诉；</w:t>
            </w:r>
          </w:p>
          <w:p>
            <w:pPr>
              <w:ind w:firstLine="420" w:firstLineChars="200"/>
            </w:pPr>
            <w:r>
              <w:rPr>
                <w:rFonts w:hint="eastAsia"/>
              </w:rPr>
              <w:t>（六）索要、收受投诉人、被投诉人或中间人的财物；</w:t>
            </w:r>
          </w:p>
          <w:p>
            <w:pPr>
              <w:ind w:firstLine="420" w:firstLineChars="200"/>
            </w:pPr>
            <w:r>
              <w:rPr>
                <w:rFonts w:hint="eastAsia"/>
              </w:rPr>
              <w:t>（七）利用工作之便为自己或者他人谋取私利；</w:t>
            </w:r>
          </w:p>
          <w:p>
            <w:pPr>
              <w:ind w:firstLine="420" w:firstLineChars="200"/>
            </w:pPr>
            <w:r>
              <w:rPr>
                <w:rFonts w:hint="eastAsia"/>
              </w:rPr>
              <w:t>（八）违反法律、法规、规章的其他行为。</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第三十二条【责任追究】投诉人故意捏造事实、伪造材料或者以非法手段取得证明材料进行投诉，给他人造成损失的，依法承担赔偿责任，记入不良信用记录。</w:t>
            </w:r>
          </w:p>
          <w:p>
            <w:pPr>
              <w:ind w:firstLine="420" w:firstLineChars="200"/>
            </w:pPr>
            <w:r>
              <w:rPr>
                <w:rFonts w:hint="eastAsia"/>
              </w:rPr>
              <w:t>被投诉人、评标委员会成员等与投诉事项有关的当事人对依法进行的调查不予配合、提供的有关资料及情况存在虚假或拒绝、隐匿和伪报的，依法处理并记入不良信用记录。</w:t>
            </w:r>
          </w:p>
          <w:p>
            <w:pPr>
              <w:ind w:firstLine="420" w:firstLineChars="200"/>
            </w:pPr>
            <w:r>
              <w:rPr>
                <w:rFonts w:hint="eastAsia"/>
              </w:rPr>
              <w:t>住房城乡建设行政主管部门工作人员在处理投诉过程中违反本办法规定的，依法给予行政处分；构成犯罪的，依法追究刑事责任。</w:t>
            </w:r>
          </w:p>
        </w:tc>
        <w:tc>
          <w:tcPr>
            <w:tcW w:w="5610" w:type="dxa"/>
          </w:tcPr>
          <w:p>
            <w:pPr>
              <w:ind w:firstLine="420" w:firstLineChars="200"/>
            </w:pPr>
            <w:r>
              <w:rPr>
                <w:rFonts w:hint="eastAsia"/>
              </w:rPr>
              <w:t>第三十二条【责任追究】投诉人故意捏造事实、伪造材料或者以非法手段取得证明材料进行投诉，给他人造成损失的，依法承担赔偿责任，记入不良信用记录。</w:t>
            </w:r>
          </w:p>
          <w:p>
            <w:pPr>
              <w:ind w:firstLine="420" w:firstLineChars="200"/>
            </w:pPr>
            <w:r>
              <w:rPr>
                <w:rFonts w:hint="eastAsia"/>
              </w:rPr>
              <w:t>被投诉人、评标委员会成员等与投诉事项有关的当事人对依法进行的调查不予配合、提供的有关资料及情况存在虚假或拒绝、隐匿和伪报的，依法处理并记入不良信用记录。</w:t>
            </w:r>
          </w:p>
          <w:p>
            <w:pPr>
              <w:ind w:firstLine="420" w:firstLineChars="200"/>
            </w:pPr>
            <w:r>
              <w:rPr>
                <w:rFonts w:hint="eastAsia"/>
              </w:rPr>
              <w:t>住房城乡建设行政主管部门工作人员在处理投诉过程中违反本办法规定的，依法给予行政处分；构成犯罪的，依法追究刑事责任。</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第三十三条【适用】本办法以“日”或者“工作日”为期间的计算均不含当日（公告日、知道日、收到日、受理日等）。</w:t>
            </w:r>
          </w:p>
          <w:p>
            <w:pPr>
              <w:ind w:firstLine="420" w:firstLineChars="200"/>
            </w:pPr>
            <w:r>
              <w:rPr>
                <w:rFonts w:hint="eastAsia"/>
              </w:rPr>
              <w:t>法律法规对招标投标投诉与处理另有规定的，从其规定。</w:t>
            </w:r>
          </w:p>
        </w:tc>
        <w:tc>
          <w:tcPr>
            <w:tcW w:w="5610" w:type="dxa"/>
          </w:tcPr>
          <w:p>
            <w:pPr>
              <w:ind w:firstLine="420" w:firstLineChars="200"/>
              <w:rPr>
                <w:color w:val="0000FF"/>
              </w:rPr>
            </w:pPr>
            <w:r>
              <w:rPr>
                <w:rFonts w:hint="eastAsia"/>
              </w:rPr>
              <w:t>第三十三条【适用】本办法以“日”或者“工作日”为期间的计算均不含当日（公告日、知道日、收到日、受理日等）。</w:t>
            </w:r>
          </w:p>
          <w:p>
            <w:pPr>
              <w:ind w:firstLine="420" w:firstLineChars="200"/>
            </w:pPr>
            <w:r>
              <w:rPr>
                <w:rFonts w:hint="eastAsia"/>
              </w:rPr>
              <w:t>法律法规对招标投标投诉与处理另有规定的，从其规定。</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pPr>
              <w:ind w:firstLine="420" w:firstLineChars="200"/>
            </w:pPr>
            <w:r>
              <w:rPr>
                <w:rFonts w:hint="eastAsia"/>
              </w:rPr>
              <w:t>第三十四条【有效期】本办法自2015年2月1日起施行，有效期五年。《四川省房屋建筑和市政基础设施工程招标投标活动投诉处理实施细则》（川建发【2006】31号）同时废止。</w:t>
            </w:r>
          </w:p>
        </w:tc>
        <w:tc>
          <w:tcPr>
            <w:tcW w:w="5610" w:type="dxa"/>
          </w:tcPr>
          <w:p>
            <w:pPr>
              <w:ind w:firstLine="420" w:firstLineChars="200"/>
              <w:rPr>
                <w:rFonts w:ascii="黑体" w:hAnsi="黑体" w:eastAsia="黑体" w:cs="黑体"/>
                <w:b/>
                <w:bCs/>
              </w:rPr>
            </w:pPr>
            <w:r>
              <w:rPr>
                <w:rFonts w:hint="eastAsia"/>
              </w:rPr>
              <w:t>第三十四条【有效期】</w:t>
            </w:r>
            <w:r>
              <w:rPr>
                <w:rFonts w:hint="eastAsia"/>
                <w:color w:val="FF0000"/>
                <w:bdr w:val="single" w:color="auto" w:sz="4" w:space="0"/>
              </w:rPr>
              <w:t>本办法自2015年2月1日起施行，有效期五年。《四川省房屋建筑和市政基础设施工程招标投标活动投诉处理实施细则》（川建发【2006】31号）同时废止。</w:t>
            </w:r>
            <w:r>
              <w:rPr>
                <w:rFonts w:hint="eastAsia" w:ascii="黑体" w:hAnsi="黑体" w:eastAsia="黑体" w:cs="黑体"/>
                <w:b/>
                <w:bCs/>
              </w:rPr>
              <w:t>本办法自发布之日起三十日施行，有效期五年。《四川省房屋建筑和市政基础设施工程招标投标活动投诉处理办法》（川建招标发〔2014〕676号）同时废止。</w:t>
            </w:r>
          </w:p>
        </w:tc>
        <w:tc>
          <w:tcPr>
            <w:tcW w:w="2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tcPr>
          <w:p/>
        </w:tc>
        <w:tc>
          <w:tcPr>
            <w:tcW w:w="5610" w:type="dxa"/>
          </w:tcPr>
          <w:p>
            <w:pPr>
              <w:ind w:firstLine="420" w:firstLineChars="200"/>
            </w:pPr>
            <w:r>
              <w:rPr>
                <w:rFonts w:hint="eastAsia"/>
              </w:rPr>
              <w:t>附件：</w:t>
            </w:r>
          </w:p>
          <w:p>
            <w:pPr>
              <w:ind w:left="840" w:leftChars="200" w:hanging="420" w:hangingChars="200"/>
            </w:pPr>
            <w:r>
              <w:rPr>
                <w:rFonts w:hint="eastAsia"/>
              </w:rPr>
              <w:t>一、招标投标活动投诉签收凭证（参考格式）</w:t>
            </w:r>
          </w:p>
          <w:p>
            <w:pPr>
              <w:ind w:left="630" w:leftChars="200" w:hanging="210" w:hangingChars="100"/>
            </w:pPr>
            <w:r>
              <w:rPr>
                <w:rFonts w:hint="eastAsia"/>
              </w:rPr>
              <w:t>二、招标投标活动投诉审查结果告知书（参考格式）</w:t>
            </w:r>
          </w:p>
          <w:p>
            <w:pPr>
              <w:ind w:firstLine="420" w:firstLineChars="200"/>
            </w:pPr>
            <w:r>
              <w:rPr>
                <w:rFonts w:hint="eastAsia"/>
              </w:rPr>
              <w:t>三、招标投标活动暂停通知书（参考格式）</w:t>
            </w:r>
          </w:p>
          <w:p>
            <w:pPr>
              <w:ind w:left="630" w:leftChars="200" w:hanging="210" w:hangingChars="100"/>
            </w:pPr>
            <w:r>
              <w:rPr>
                <w:rFonts w:hint="eastAsia"/>
              </w:rPr>
              <w:t>四、关于对招标投标活动投诉事项予以陈述和申辩的函（参考格式）</w:t>
            </w:r>
          </w:p>
          <w:p>
            <w:pPr>
              <w:ind w:firstLine="420" w:firstLineChars="200"/>
            </w:pPr>
            <w:r>
              <w:rPr>
                <w:rFonts w:hint="eastAsia"/>
              </w:rPr>
              <w:t>五、招标投标活动投诉处理决定书（参考格式）</w:t>
            </w:r>
          </w:p>
        </w:tc>
        <w:tc>
          <w:tcPr>
            <w:tcW w:w="2104" w:type="dxa"/>
          </w:tcPr>
          <w:p>
            <w:pPr>
              <w:ind w:firstLine="420" w:firstLineChars="200"/>
            </w:pPr>
            <w:r>
              <w:rPr>
                <w:rFonts w:hint="eastAsia"/>
              </w:rPr>
              <w:t>为规范招标投标活动投诉的受理和处理，指导市（州）、县（市、区）城乡建设行政主管部门进一步做好招标投标监管工作，因此增加了投诉受理和处理的相关文书参考格式。</w:t>
            </w:r>
          </w:p>
        </w:tc>
      </w:tr>
    </w:tbl>
    <w:p>
      <w:pPr>
        <w:sectPr>
          <w:footerReference r:id="rId3" w:type="default"/>
          <w:pgSz w:w="16838" w:h="11906" w:orient="landscape"/>
          <w:pgMar w:top="1644" w:right="1871" w:bottom="1474" w:left="1871" w:header="851" w:footer="992" w:gutter="0"/>
          <w:cols w:space="425" w:num="1"/>
          <w:docGrid w:type="lines" w:linePitch="595" w:charSpace="21269"/>
        </w:sectPr>
      </w:pPr>
    </w:p>
    <w:p>
      <w:pPr>
        <w:widowControl/>
        <w:jc w:val="left"/>
        <w:rPr>
          <w:rFonts w:ascii="仿宋" w:hAnsi="仿宋" w:eastAsia="仿宋"/>
          <w:b/>
          <w:sz w:val="32"/>
          <w:szCs w:val="32"/>
        </w:rPr>
      </w:pPr>
      <w:r>
        <w:rPr>
          <w:rFonts w:hint="eastAsia" w:ascii="仿宋" w:hAnsi="仿宋" w:eastAsia="仿宋"/>
          <w:b/>
          <w:sz w:val="32"/>
          <w:szCs w:val="32"/>
        </w:rPr>
        <w:t>附件一 ：</w:t>
      </w:r>
    </w:p>
    <w:p>
      <w:pPr>
        <w:widowControl/>
        <w:jc w:val="center"/>
        <w:rPr>
          <w:rFonts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36"/>
          <w:szCs w:val="36"/>
        </w:rPr>
        <w:t>招标投标活动投诉签收凭证</w:t>
      </w:r>
      <w:r>
        <w:rPr>
          <w:rFonts w:hint="eastAsia" w:ascii="方正小标宋简体" w:hAnsi="方正小标宋简体" w:eastAsia="方正小标宋简体" w:cs="方正小标宋简体"/>
          <w:b/>
          <w:bCs/>
          <w:kern w:val="0"/>
          <w:sz w:val="20"/>
          <w:szCs w:val="20"/>
        </w:rPr>
        <w:t>（收件单位留存）</w:t>
      </w:r>
    </w:p>
    <w:p>
      <w:pPr>
        <w:widowControl/>
        <w:jc w:val="left"/>
        <w:rPr>
          <w:rFonts w:ascii="宋体" w:hAnsi="宋体" w:cs="宋体"/>
          <w:kern w:val="0"/>
          <w:sz w:val="20"/>
          <w:szCs w:val="20"/>
        </w:rPr>
      </w:pPr>
      <w:r>
        <w:rPr>
          <w:rFonts w:ascii="宋体" w:hAnsi="宋体" w:cs="宋体"/>
          <w:kern w:val="0"/>
          <w:sz w:val="20"/>
          <w:szCs w:val="20"/>
        </w:rPr>
        <w:t>收件时间：</w:t>
      </w:r>
      <w:r>
        <w:rPr>
          <w:rFonts w:hint="eastAsia" w:ascii="宋体" w:hAnsi="宋体" w:cs="宋体"/>
          <w:kern w:val="0"/>
          <w:sz w:val="20"/>
          <w:szCs w:val="20"/>
        </w:rPr>
        <w:t xml:space="preserve">  年  月  日</w:t>
      </w:r>
      <w:r>
        <w:rPr>
          <w:rFonts w:ascii="宋体" w:hAnsi="宋体" w:cs="宋体"/>
          <w:kern w:val="0"/>
          <w:sz w:val="20"/>
          <w:szCs w:val="20"/>
        </w:rPr>
        <w:t>编号：［］</w:t>
      </w:r>
    </w:p>
    <w:tbl>
      <w:tblPr>
        <w:tblStyle w:val="9"/>
        <w:tblW w:w="9312"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75" w:type="dxa"/>
          <w:left w:w="75" w:type="dxa"/>
          <w:bottom w:w="75" w:type="dxa"/>
          <w:right w:w="75" w:type="dxa"/>
        </w:tblCellMar>
      </w:tblPr>
      <w:tblGrid>
        <w:gridCol w:w="1376"/>
        <w:gridCol w:w="1005"/>
        <w:gridCol w:w="1020"/>
        <w:gridCol w:w="1072"/>
        <w:gridCol w:w="870"/>
        <w:gridCol w:w="1166"/>
        <w:gridCol w:w="1084"/>
        <w:gridCol w:w="171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ascii="宋体" w:hAnsi="宋体" w:cs="宋体"/>
                <w:kern w:val="0"/>
                <w:sz w:val="20"/>
                <w:szCs w:val="20"/>
              </w:rPr>
              <w:t>投诉</w:t>
            </w:r>
            <w:r>
              <w:rPr>
                <w:rFonts w:hint="eastAsia" w:ascii="宋体" w:hAnsi="宋体" w:cs="宋体"/>
                <w:kern w:val="0"/>
                <w:sz w:val="20"/>
                <w:szCs w:val="20"/>
              </w:rPr>
              <w:t>项目名称</w:t>
            </w:r>
            <w:r>
              <w:rPr>
                <w:rFonts w:hint="eastAsia" w:ascii="宋体" w:hAnsi="宋体" w:cs="宋体"/>
                <w:color w:val="FF0000"/>
                <w:kern w:val="0"/>
                <w:sz w:val="20"/>
                <w:szCs w:val="20"/>
              </w:rPr>
              <w:t>名称</w:t>
            </w:r>
          </w:p>
        </w:tc>
        <w:tc>
          <w:tcPr>
            <w:tcW w:w="3967" w:type="dxa"/>
            <w:gridSpan w:val="4"/>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宋体"/>
                <w:kern w:val="0"/>
                <w:sz w:val="20"/>
                <w:szCs w:val="20"/>
              </w:rPr>
            </w:pPr>
          </w:p>
        </w:tc>
        <w:tc>
          <w:tcPr>
            <w:tcW w:w="1166" w:type="dxa"/>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已递交部门</w:t>
            </w:r>
          </w:p>
        </w:tc>
        <w:tc>
          <w:tcPr>
            <w:tcW w:w="2803" w:type="dxa"/>
            <w:gridSpan w:val="2"/>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ascii="宋体" w:hAnsi="宋体" w:cs="宋体"/>
                <w:kern w:val="0"/>
                <w:sz w:val="20"/>
                <w:szCs w:val="20"/>
              </w:rPr>
              <w:t>投诉人</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名称</w:t>
            </w:r>
          </w:p>
        </w:tc>
        <w:tc>
          <w:tcPr>
            <w:tcW w:w="6931" w:type="dxa"/>
            <w:gridSpan w:val="6"/>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通讯地址</w:t>
            </w:r>
          </w:p>
        </w:tc>
        <w:tc>
          <w:tcPr>
            <w:tcW w:w="4128"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8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邮政</w:t>
            </w:r>
            <w:r>
              <w:rPr>
                <w:rFonts w:hint="eastAsia" w:ascii="宋体" w:hAnsi="宋体" w:cs="宋体"/>
                <w:kern w:val="0"/>
                <w:sz w:val="20"/>
                <w:szCs w:val="20"/>
              </w:rPr>
              <w:t>编码</w:t>
            </w:r>
          </w:p>
          <w:p>
            <w:pPr>
              <w:widowControl/>
              <w:jc w:val="left"/>
              <w:rPr>
                <w:rFonts w:ascii="宋体" w:hAnsi="宋体" w:cs="宋体"/>
                <w:kern w:val="0"/>
                <w:sz w:val="20"/>
                <w:szCs w:val="20"/>
              </w:rPr>
            </w:pPr>
            <w:r>
              <w:rPr>
                <w:rFonts w:ascii="宋体" w:hAnsi="宋体" w:cs="宋体"/>
                <w:kern w:val="0"/>
                <w:sz w:val="20"/>
                <w:szCs w:val="20"/>
              </w:rPr>
              <w:t>编码</w:t>
            </w:r>
          </w:p>
        </w:tc>
        <w:tc>
          <w:tcPr>
            <w:tcW w:w="171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联系人</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72"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移动</w:t>
            </w:r>
            <w:r>
              <w:rPr>
                <w:rFonts w:hint="eastAsia" w:ascii="宋体" w:hAnsi="宋体" w:cs="宋体"/>
                <w:kern w:val="0"/>
                <w:sz w:val="20"/>
                <w:szCs w:val="20"/>
              </w:rPr>
              <w:t>电话</w:t>
            </w:r>
          </w:p>
          <w:p>
            <w:pPr>
              <w:widowControl/>
              <w:jc w:val="left"/>
              <w:rPr>
                <w:rFonts w:ascii="宋体" w:hAnsi="宋体" w:cs="宋体"/>
                <w:kern w:val="0"/>
                <w:sz w:val="20"/>
                <w:szCs w:val="20"/>
              </w:rPr>
            </w:pPr>
            <w:r>
              <w:rPr>
                <w:rFonts w:ascii="宋体" w:hAnsi="宋体" w:cs="宋体"/>
                <w:kern w:val="0"/>
                <w:sz w:val="20"/>
                <w:szCs w:val="20"/>
              </w:rPr>
              <w:t>电话</w:t>
            </w:r>
          </w:p>
        </w:tc>
        <w:tc>
          <w:tcPr>
            <w:tcW w:w="2036" w:type="dxa"/>
            <w:gridSpan w:val="2"/>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8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固定</w:t>
            </w:r>
            <w:r>
              <w:rPr>
                <w:rFonts w:hint="eastAsia" w:ascii="宋体" w:hAnsi="宋体" w:cs="宋体"/>
                <w:kern w:val="0"/>
                <w:sz w:val="20"/>
                <w:szCs w:val="20"/>
              </w:rPr>
              <w:t>电话</w:t>
            </w:r>
          </w:p>
          <w:p>
            <w:pPr>
              <w:widowControl/>
              <w:jc w:val="left"/>
              <w:rPr>
                <w:rFonts w:ascii="宋体" w:hAnsi="宋体" w:cs="宋体"/>
                <w:kern w:val="0"/>
                <w:sz w:val="20"/>
                <w:szCs w:val="20"/>
              </w:rPr>
            </w:pPr>
            <w:r>
              <w:rPr>
                <w:rFonts w:ascii="宋体" w:hAnsi="宋体" w:cs="宋体"/>
                <w:kern w:val="0"/>
                <w:sz w:val="20"/>
                <w:szCs w:val="20"/>
              </w:rPr>
              <w:t>电话</w:t>
            </w:r>
          </w:p>
        </w:tc>
        <w:tc>
          <w:tcPr>
            <w:tcW w:w="171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85" w:hRule="exact"/>
          <w:jc w:val="center"/>
        </w:trPr>
        <w:tc>
          <w:tcPr>
            <w:tcW w:w="13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ascii="宋体" w:hAnsi="宋体" w:cs="宋体"/>
                <w:kern w:val="0"/>
                <w:sz w:val="20"/>
                <w:szCs w:val="20"/>
              </w:rPr>
              <w:t>收件</w:t>
            </w:r>
          </w:p>
        </w:tc>
        <w:tc>
          <w:tcPr>
            <w:tcW w:w="7936"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420" w:lineRule="exact"/>
              <w:jc w:val="left"/>
              <w:rPr>
                <w:rFonts w:ascii="宋体" w:hAnsi="宋体" w:cs="宋体"/>
                <w:kern w:val="0"/>
                <w:sz w:val="20"/>
                <w:szCs w:val="20"/>
              </w:rPr>
            </w:pPr>
            <w:r>
              <w:rPr>
                <w:rFonts w:hint="eastAsia" w:ascii="宋体" w:hAnsi="宋体" w:cs="宋体"/>
                <w:kern w:val="0"/>
                <w:sz w:val="20"/>
                <w:szCs w:val="20"/>
              </w:rPr>
              <w:t>单位：经</w:t>
            </w:r>
            <w:r>
              <w:rPr>
                <w:rFonts w:ascii="宋体" w:hAnsi="宋体" w:cs="宋体"/>
                <w:kern w:val="0"/>
                <w:sz w:val="20"/>
                <w:szCs w:val="20"/>
              </w:rPr>
              <w:t>办人（签字）： 　年月日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送件</w:t>
            </w:r>
          </w:p>
        </w:tc>
        <w:tc>
          <w:tcPr>
            <w:tcW w:w="7936" w:type="dxa"/>
            <w:gridSpan w:val="7"/>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经办人（签字）：                             </w:t>
            </w:r>
            <w:r>
              <w:rPr>
                <w:rFonts w:ascii="宋体" w:hAnsi="宋体" w:cs="宋体"/>
                <w:kern w:val="0"/>
                <w:sz w:val="20"/>
                <w:szCs w:val="20"/>
              </w:rPr>
              <w:t>年    月    日</w:t>
            </w:r>
          </w:p>
        </w:tc>
      </w:tr>
    </w:tbl>
    <w:p>
      <w:pPr>
        <w:rPr>
          <w:rFonts w:ascii="仿宋_GB2312" w:hAnsi="仿宋_GB2312" w:eastAsia="仿宋_GB2312" w:cs="仿宋_GB2312"/>
          <w:b/>
          <w:bCs/>
          <w:sz w:val="32"/>
          <w:szCs w:val="32"/>
          <w:u w:val="dash"/>
        </w:rPr>
      </w:pPr>
    </w:p>
    <w:p>
      <w:pPr>
        <w:widowControl/>
        <w:jc w:val="left"/>
        <w:rPr>
          <w:rFonts w:ascii="宋体" w:hAnsi="宋体" w:cs="宋体"/>
          <w:vanish/>
          <w:kern w:val="0"/>
          <w:sz w:val="24"/>
        </w:rPr>
      </w:pPr>
    </w:p>
    <w:p>
      <w:pPr>
        <w:widowControl/>
        <w:jc w:val="center"/>
        <w:rPr>
          <w:rFonts w:ascii="宋体" w:hAnsi="宋体" w:cs="宋体"/>
          <w:b/>
          <w:bCs/>
          <w:kern w:val="0"/>
          <w:sz w:val="36"/>
          <w:szCs w:val="36"/>
        </w:rPr>
      </w:pPr>
    </w:p>
    <w:p>
      <w:pPr>
        <w:widowControl/>
        <w:jc w:val="center"/>
        <w:rPr>
          <w:rFonts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36"/>
          <w:szCs w:val="36"/>
        </w:rPr>
        <w:t>招标投标活动投诉签收凭证</w:t>
      </w:r>
      <w:r>
        <w:rPr>
          <w:rFonts w:hint="eastAsia" w:ascii="方正小标宋简体" w:hAnsi="方正小标宋简体" w:eastAsia="方正小标宋简体" w:cs="方正小标宋简体"/>
          <w:b/>
          <w:bCs/>
          <w:kern w:val="0"/>
          <w:sz w:val="20"/>
          <w:szCs w:val="20"/>
        </w:rPr>
        <w:t>（投诉人留存）</w:t>
      </w:r>
    </w:p>
    <w:p>
      <w:pPr>
        <w:widowControl/>
        <w:jc w:val="left"/>
        <w:rPr>
          <w:rFonts w:ascii="宋体" w:hAnsi="宋体" w:cs="宋体"/>
          <w:kern w:val="0"/>
          <w:sz w:val="20"/>
          <w:szCs w:val="20"/>
        </w:rPr>
      </w:pPr>
      <w:r>
        <w:rPr>
          <w:rFonts w:ascii="宋体" w:hAnsi="宋体" w:cs="宋体"/>
          <w:kern w:val="0"/>
          <w:sz w:val="20"/>
          <w:szCs w:val="20"/>
        </w:rPr>
        <w:t>收件时间：</w:t>
      </w:r>
      <w:r>
        <w:rPr>
          <w:rFonts w:hint="eastAsia" w:ascii="宋体" w:hAnsi="宋体" w:cs="宋体"/>
          <w:kern w:val="0"/>
          <w:sz w:val="20"/>
          <w:szCs w:val="20"/>
        </w:rPr>
        <w:t xml:space="preserve">  年  月  日</w:t>
      </w:r>
      <w:r>
        <w:rPr>
          <w:rFonts w:ascii="宋体" w:hAnsi="宋体" w:cs="宋体"/>
          <w:kern w:val="0"/>
          <w:sz w:val="20"/>
          <w:szCs w:val="20"/>
        </w:rPr>
        <w:t>编号：［］</w:t>
      </w:r>
    </w:p>
    <w:tbl>
      <w:tblPr>
        <w:tblStyle w:val="9"/>
        <w:tblW w:w="9312"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75" w:type="dxa"/>
          <w:left w:w="75" w:type="dxa"/>
          <w:bottom w:w="75" w:type="dxa"/>
          <w:right w:w="75" w:type="dxa"/>
        </w:tblCellMar>
      </w:tblPr>
      <w:tblGrid>
        <w:gridCol w:w="1376"/>
        <w:gridCol w:w="1005"/>
        <w:gridCol w:w="1020"/>
        <w:gridCol w:w="1072"/>
        <w:gridCol w:w="870"/>
        <w:gridCol w:w="1166"/>
        <w:gridCol w:w="1084"/>
        <w:gridCol w:w="171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ascii="宋体" w:hAnsi="宋体" w:cs="宋体"/>
                <w:kern w:val="0"/>
                <w:sz w:val="20"/>
                <w:szCs w:val="20"/>
              </w:rPr>
              <w:t>投诉</w:t>
            </w:r>
            <w:r>
              <w:rPr>
                <w:rFonts w:hint="eastAsia" w:ascii="宋体" w:hAnsi="宋体" w:cs="宋体"/>
                <w:kern w:val="0"/>
                <w:sz w:val="20"/>
                <w:szCs w:val="20"/>
              </w:rPr>
              <w:t>项目名称</w:t>
            </w:r>
            <w:r>
              <w:rPr>
                <w:rFonts w:hint="eastAsia" w:ascii="宋体" w:hAnsi="宋体" w:cs="宋体"/>
                <w:color w:val="FF0000"/>
                <w:kern w:val="0"/>
                <w:sz w:val="20"/>
                <w:szCs w:val="20"/>
              </w:rPr>
              <w:t>名称</w:t>
            </w:r>
          </w:p>
        </w:tc>
        <w:tc>
          <w:tcPr>
            <w:tcW w:w="3967" w:type="dxa"/>
            <w:gridSpan w:val="4"/>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宋体"/>
                <w:kern w:val="0"/>
                <w:sz w:val="20"/>
                <w:szCs w:val="20"/>
              </w:rPr>
            </w:pPr>
          </w:p>
        </w:tc>
        <w:tc>
          <w:tcPr>
            <w:tcW w:w="1166" w:type="dxa"/>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已递交部门</w:t>
            </w:r>
          </w:p>
        </w:tc>
        <w:tc>
          <w:tcPr>
            <w:tcW w:w="2803" w:type="dxa"/>
            <w:gridSpan w:val="2"/>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ascii="宋体" w:hAnsi="宋体" w:cs="宋体"/>
                <w:kern w:val="0"/>
                <w:sz w:val="20"/>
                <w:szCs w:val="20"/>
              </w:rPr>
              <w:t>投诉人</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名称</w:t>
            </w:r>
          </w:p>
        </w:tc>
        <w:tc>
          <w:tcPr>
            <w:tcW w:w="6931" w:type="dxa"/>
            <w:gridSpan w:val="6"/>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通讯地址</w:t>
            </w:r>
          </w:p>
        </w:tc>
        <w:tc>
          <w:tcPr>
            <w:tcW w:w="4128"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8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邮政</w:t>
            </w:r>
            <w:r>
              <w:rPr>
                <w:rFonts w:hint="eastAsia" w:ascii="宋体" w:hAnsi="宋体" w:cs="宋体"/>
                <w:kern w:val="0"/>
                <w:sz w:val="20"/>
                <w:szCs w:val="20"/>
              </w:rPr>
              <w:t>编码</w:t>
            </w:r>
          </w:p>
          <w:p>
            <w:pPr>
              <w:widowControl/>
              <w:jc w:val="left"/>
              <w:rPr>
                <w:rFonts w:ascii="宋体" w:hAnsi="宋体" w:cs="宋体"/>
                <w:kern w:val="0"/>
                <w:sz w:val="20"/>
                <w:szCs w:val="20"/>
              </w:rPr>
            </w:pPr>
            <w:r>
              <w:rPr>
                <w:rFonts w:ascii="宋体" w:hAnsi="宋体" w:cs="宋体"/>
                <w:kern w:val="0"/>
                <w:sz w:val="20"/>
                <w:szCs w:val="20"/>
              </w:rPr>
              <w:t>编码</w:t>
            </w:r>
          </w:p>
        </w:tc>
        <w:tc>
          <w:tcPr>
            <w:tcW w:w="171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联系人</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72"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移动</w:t>
            </w:r>
            <w:r>
              <w:rPr>
                <w:rFonts w:hint="eastAsia" w:ascii="宋体" w:hAnsi="宋体" w:cs="宋体"/>
                <w:kern w:val="0"/>
                <w:sz w:val="20"/>
                <w:szCs w:val="20"/>
              </w:rPr>
              <w:t>电话</w:t>
            </w:r>
          </w:p>
          <w:p>
            <w:pPr>
              <w:widowControl/>
              <w:jc w:val="left"/>
              <w:rPr>
                <w:rFonts w:ascii="宋体" w:hAnsi="宋体" w:cs="宋体"/>
                <w:kern w:val="0"/>
                <w:sz w:val="20"/>
                <w:szCs w:val="20"/>
              </w:rPr>
            </w:pPr>
            <w:r>
              <w:rPr>
                <w:rFonts w:ascii="宋体" w:hAnsi="宋体" w:cs="宋体"/>
                <w:kern w:val="0"/>
                <w:sz w:val="20"/>
                <w:szCs w:val="20"/>
              </w:rPr>
              <w:t>电话</w:t>
            </w:r>
          </w:p>
        </w:tc>
        <w:tc>
          <w:tcPr>
            <w:tcW w:w="2036" w:type="dxa"/>
            <w:gridSpan w:val="2"/>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c>
          <w:tcPr>
            <w:tcW w:w="108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ascii="宋体" w:hAnsi="宋体" w:cs="宋体"/>
                <w:kern w:val="0"/>
                <w:sz w:val="20"/>
                <w:szCs w:val="20"/>
              </w:rPr>
              <w:t>固定</w:t>
            </w:r>
            <w:r>
              <w:rPr>
                <w:rFonts w:hint="eastAsia" w:ascii="宋体" w:hAnsi="宋体" w:cs="宋体"/>
                <w:kern w:val="0"/>
                <w:sz w:val="20"/>
                <w:szCs w:val="20"/>
              </w:rPr>
              <w:t>电话</w:t>
            </w:r>
          </w:p>
          <w:p>
            <w:pPr>
              <w:widowControl/>
              <w:jc w:val="left"/>
              <w:rPr>
                <w:rFonts w:ascii="宋体" w:hAnsi="宋体" w:cs="宋体"/>
                <w:kern w:val="0"/>
                <w:sz w:val="20"/>
                <w:szCs w:val="20"/>
              </w:rPr>
            </w:pPr>
            <w:r>
              <w:rPr>
                <w:rFonts w:ascii="宋体" w:hAnsi="宋体" w:cs="宋体"/>
                <w:kern w:val="0"/>
                <w:sz w:val="20"/>
                <w:szCs w:val="20"/>
              </w:rPr>
              <w:t>电话</w:t>
            </w:r>
          </w:p>
        </w:tc>
        <w:tc>
          <w:tcPr>
            <w:tcW w:w="171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85" w:hRule="exact"/>
          <w:jc w:val="center"/>
        </w:trPr>
        <w:tc>
          <w:tcPr>
            <w:tcW w:w="13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ascii="宋体" w:hAnsi="宋体" w:cs="宋体"/>
                <w:kern w:val="0"/>
                <w:sz w:val="20"/>
                <w:szCs w:val="20"/>
              </w:rPr>
              <w:t>收件</w:t>
            </w:r>
          </w:p>
        </w:tc>
        <w:tc>
          <w:tcPr>
            <w:tcW w:w="7936"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420" w:lineRule="exact"/>
              <w:jc w:val="left"/>
              <w:rPr>
                <w:rFonts w:ascii="宋体" w:hAnsi="宋体" w:cs="宋体"/>
                <w:kern w:val="0"/>
                <w:sz w:val="20"/>
                <w:szCs w:val="20"/>
              </w:rPr>
            </w:pPr>
            <w:r>
              <w:rPr>
                <w:rFonts w:hint="eastAsia" w:ascii="宋体" w:hAnsi="宋体" w:cs="宋体"/>
                <w:kern w:val="0"/>
                <w:sz w:val="20"/>
                <w:szCs w:val="20"/>
              </w:rPr>
              <w:t>单位：经</w:t>
            </w:r>
            <w:r>
              <w:rPr>
                <w:rFonts w:ascii="宋体" w:hAnsi="宋体" w:cs="宋体"/>
                <w:kern w:val="0"/>
                <w:sz w:val="20"/>
                <w:szCs w:val="20"/>
              </w:rPr>
              <w:t>办人（签字）： 　年月日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75" w:type="dxa"/>
            <w:left w:w="75" w:type="dxa"/>
            <w:bottom w:w="75" w:type="dxa"/>
            <w:right w:w="75" w:type="dxa"/>
          </w:tblCellMar>
        </w:tblPrEx>
        <w:trPr>
          <w:trHeight w:val="590" w:hRule="exact"/>
          <w:jc w:val="center"/>
        </w:trPr>
        <w:tc>
          <w:tcPr>
            <w:tcW w:w="13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送件</w:t>
            </w:r>
          </w:p>
        </w:tc>
        <w:tc>
          <w:tcPr>
            <w:tcW w:w="7936" w:type="dxa"/>
            <w:gridSpan w:val="7"/>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经办人（签字）：                             </w:t>
            </w:r>
            <w:r>
              <w:rPr>
                <w:rFonts w:ascii="宋体" w:hAnsi="宋体" w:cs="宋体"/>
                <w:kern w:val="0"/>
                <w:sz w:val="20"/>
                <w:szCs w:val="20"/>
              </w:rPr>
              <w:t>年    月    日</w:t>
            </w:r>
          </w:p>
        </w:tc>
      </w:tr>
    </w:tbl>
    <w:p>
      <w:pPr>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widowControl/>
        <w:jc w:val="left"/>
        <w:rPr>
          <w:rFonts w:ascii="仿宋" w:hAnsi="仿宋" w:eastAsia="仿宋"/>
          <w:b/>
          <w:sz w:val="32"/>
          <w:szCs w:val="32"/>
        </w:rPr>
      </w:pPr>
      <w:r>
        <w:rPr>
          <w:rFonts w:hint="eastAsia" w:ascii="仿宋" w:hAnsi="仿宋" w:eastAsia="仿宋"/>
          <w:b/>
          <w:sz w:val="32"/>
          <w:szCs w:val="32"/>
        </w:rPr>
        <w:t>附件二：</w:t>
      </w:r>
    </w:p>
    <w:p>
      <w:pPr>
        <w:widowControl/>
        <w:kinsoku w:val="0"/>
        <w:wordWrap w:val="0"/>
        <w:topLinePunct/>
        <w:spacing w:line="375" w:lineRule="atLeast"/>
        <w:jc w:val="center"/>
      </w:pPr>
    </w:p>
    <w:p>
      <w:pPr>
        <w:widowControl/>
        <w:kinsoku w:val="0"/>
        <w:wordWrap w:val="0"/>
        <w:topLinePunct/>
        <w:spacing w:line="375" w:lineRule="atLeast"/>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招标投标活动投诉审查结果告知书</w:t>
      </w:r>
    </w:p>
    <w:p>
      <w:pPr>
        <w:widowControl/>
        <w:kinsoku w:val="0"/>
        <w:wordWrap w:val="0"/>
        <w:topLinePunct/>
        <w:spacing w:line="375" w:lineRule="atLeast"/>
        <w:jc w:val="center"/>
        <w:rPr>
          <w:rFonts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rPr>
        <w:t>（参考格式）</w:t>
      </w:r>
    </w:p>
    <w:p>
      <w:pPr>
        <w:widowControl/>
        <w:kinsoku w:val="0"/>
        <w:wordWrap w:val="0"/>
        <w:topLinePunct/>
        <w:spacing w:line="375" w:lineRule="atLeast"/>
        <w:jc w:val="center"/>
        <w:rPr>
          <w:rFonts w:ascii="宋体" w:hAnsi="宋体" w:cs="宋体"/>
          <w:b/>
          <w:bCs/>
          <w:kern w:val="0"/>
          <w:sz w:val="44"/>
          <w:szCs w:val="44"/>
        </w:rPr>
      </w:pPr>
    </w:p>
    <w:p>
      <w:pPr>
        <w:kinsoku w:val="0"/>
        <w:wordWrap w:val="0"/>
        <w:topLinePunct/>
        <w:spacing w:line="375"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投诉人名称</w:t>
      </w:r>
      <w:r>
        <w:rPr>
          <w:rFonts w:hint="eastAsia" w:ascii="仿宋_GB2312" w:hAnsi="仿宋_GB2312" w:eastAsia="仿宋_GB2312" w:cs="仿宋_GB2312"/>
          <w:kern w:val="0"/>
          <w:sz w:val="32"/>
          <w:szCs w:val="32"/>
        </w:rPr>
        <w:t>：</w:t>
      </w:r>
    </w:p>
    <w:p>
      <w:pPr>
        <w:kinsoku w:val="0"/>
        <w:wordWrap w:val="0"/>
        <w:topLinePunct/>
        <w:spacing w:line="375"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你（单位）关于</w:t>
      </w:r>
      <w:r>
        <w:rPr>
          <w:rFonts w:hint="eastAsia" w:ascii="仿宋_GB2312" w:hAnsi="仿宋_GB2312" w:eastAsia="仿宋_GB2312" w:cs="仿宋_GB2312"/>
          <w:kern w:val="0"/>
          <w:sz w:val="32"/>
          <w:szCs w:val="32"/>
          <w:u w:val="single"/>
        </w:rPr>
        <w:t>（项目名称）</w:t>
      </w:r>
      <w:r>
        <w:rPr>
          <w:rFonts w:hint="eastAsia" w:ascii="仿宋_GB2312" w:hAnsi="仿宋_GB2312" w:eastAsia="仿宋_GB2312" w:cs="仿宋_GB2312"/>
          <w:kern w:val="0"/>
          <w:sz w:val="32"/>
          <w:szCs w:val="32"/>
        </w:rPr>
        <w:t>的投诉书，已于年月日收悉。经审查，结果如下：</w:t>
      </w:r>
    </w:p>
    <w:p>
      <w:pPr>
        <w:kinsoku w:val="0"/>
        <w:wordWrap w:val="0"/>
        <w:topLinePunct/>
        <w:spacing w:line="375"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一、投诉事项符合《工程建设项目招标投标活动投诉处理办法》第三条、第七条、第九条、第十条之有关规定，决定予以受理。</w:t>
      </w:r>
    </w:p>
    <w:p>
      <w:pPr>
        <w:kinsoku w:val="0"/>
        <w:wordWrap w:val="0"/>
        <w:topLinePunct/>
        <w:spacing w:line="375"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二、投诉事项，依据《工程建设项目招标投标活动投诉处理办法》第十二条第项之有关规定，决定不予受理。</w:t>
      </w:r>
    </w:p>
    <w:p>
      <w:pPr>
        <w:kinsoku w:val="0"/>
        <w:wordWrap w:val="0"/>
        <w:topLinePunct/>
        <w:spacing w:line="375"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三、投诉事项不属于本部门职责范围，请按照</w:t>
      </w:r>
    </w:p>
    <w:p>
      <w:pPr>
        <w:kinsoku w:val="0"/>
        <w:wordWrap w:val="0"/>
        <w:topLinePunct/>
        <w:spacing w:line="375"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《四川省国家投资工程建设项目招标投标条例》第三十四条、第三十五条之有关规定，向有关行政主管部门投诉。</w:t>
      </w:r>
    </w:p>
    <w:p>
      <w:pPr>
        <w:kinsoku w:val="0"/>
        <w:wordWrap w:val="0"/>
        <w:topLinePunct/>
        <w:spacing w:line="375"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特此函告。</w:t>
      </w:r>
    </w:p>
    <w:p>
      <w:pPr>
        <w:wordWrap w:val="0"/>
        <w:spacing w:line="375"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spacing w:line="375" w:lineRule="atLeast"/>
        <w:ind w:left="2940" w:leftChars="14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住房城乡建设行政主管部门名称</w:t>
      </w:r>
    </w:p>
    <w:p>
      <w:pPr>
        <w:spacing w:line="375" w:lineRule="atLeas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年 月日</w:t>
      </w: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jc w:val="left"/>
        <w:rPr>
          <w:rFonts w:ascii="仿宋" w:hAnsi="仿宋" w:eastAsia="仿宋"/>
          <w:b/>
          <w:sz w:val="32"/>
          <w:szCs w:val="32"/>
        </w:rPr>
      </w:pPr>
      <w:r>
        <w:rPr>
          <w:rFonts w:hint="eastAsia" w:ascii="仿宋" w:hAnsi="仿宋" w:eastAsia="仿宋"/>
          <w:b/>
          <w:sz w:val="32"/>
          <w:szCs w:val="32"/>
        </w:rPr>
        <w:t>附件三：</w:t>
      </w:r>
    </w:p>
    <w:p>
      <w:pPr>
        <w:wordWrap w:val="0"/>
        <w:jc w:val="center"/>
        <w:rPr>
          <w:rFonts w:ascii="仿宋" w:hAnsi="仿宋" w:eastAsia="仿宋"/>
          <w:sz w:val="32"/>
          <w:szCs w:val="32"/>
        </w:rPr>
      </w:pPr>
    </w:p>
    <w:p>
      <w:pPr>
        <w:wordWrap w:val="0"/>
        <w:jc w:val="center"/>
        <w:rPr>
          <w:b/>
          <w:sz w:val="44"/>
          <w:szCs w:val="44"/>
        </w:rPr>
      </w:pPr>
    </w:p>
    <w:p>
      <w:pPr>
        <w:widowControl/>
        <w:kinsoku w:val="0"/>
        <w:wordWrap w:val="0"/>
        <w:topLinePunct/>
        <w:spacing w:line="375" w:lineRule="atLeast"/>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招标投标活动暂停通知书</w:t>
      </w:r>
    </w:p>
    <w:p>
      <w:pPr>
        <w:widowControl/>
        <w:kinsoku w:val="0"/>
        <w:wordWrap w:val="0"/>
        <w:topLinePunct/>
        <w:spacing w:line="375" w:lineRule="atLeast"/>
        <w:jc w:val="center"/>
        <w:rPr>
          <w:rFonts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rPr>
        <w:t>（参考格式）</w:t>
      </w:r>
    </w:p>
    <w:p>
      <w:pPr>
        <w:wordWrap w:val="0"/>
        <w:jc w:val="center"/>
        <w:rPr>
          <w:b/>
          <w:sz w:val="44"/>
          <w:szCs w:val="44"/>
        </w:rPr>
      </w:pPr>
    </w:p>
    <w:p>
      <w:pPr>
        <w:wordWrap w:val="0"/>
        <w:rPr>
          <w:rFonts w:ascii="方正仿宋简体" w:eastAsia="方正仿宋简体"/>
          <w:sz w:val="32"/>
          <w:szCs w:val="32"/>
          <w:u w:val="single"/>
        </w:rPr>
      </w:pP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招标人名称</w:t>
      </w:r>
      <w:r>
        <w:rPr>
          <w:rFonts w:hint="eastAsia" w:ascii="仿宋_GB2312" w:hAnsi="仿宋_GB2312" w:eastAsia="仿宋_GB2312" w:cs="仿宋_GB2312"/>
          <w:sz w:val="32"/>
          <w:szCs w:val="32"/>
        </w:rPr>
        <w:t>：</w:t>
      </w:r>
    </w:p>
    <w:p>
      <w:pPr>
        <w:wordWrap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本机关已受理你单位</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项目招标投标活动的投标人或者其他利害关系人的投诉，依据《中华人民共和国招标投标法实施条例》第六十二条和《</w:t>
      </w:r>
      <w:r>
        <w:rPr>
          <w:rStyle w:val="12"/>
          <w:rFonts w:hint="eastAsia" w:ascii="仿宋_GB2312" w:hAnsi="仿宋_GB2312" w:eastAsia="仿宋_GB2312" w:cs="仿宋_GB2312"/>
          <w:b w:val="0"/>
          <w:sz w:val="32"/>
          <w:szCs w:val="32"/>
        </w:rPr>
        <w:t>工程建设项目招标投标活动投诉处理办法</w:t>
      </w:r>
      <w:r>
        <w:rPr>
          <w:rFonts w:hint="eastAsia" w:ascii="仿宋_GB2312" w:hAnsi="仿宋_GB2312" w:eastAsia="仿宋_GB2312" w:cs="仿宋_GB2312"/>
          <w:sz w:val="32"/>
          <w:szCs w:val="32"/>
        </w:rPr>
        <w:t>》第十八条之有关规定，决定暂停该项目招标投标活动。</w:t>
      </w:r>
    </w:p>
    <w:p>
      <w:pPr>
        <w:wordWrap w:val="0"/>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wordWrap w:val="0"/>
        <w:ind w:firstLine="630"/>
        <w:rPr>
          <w:rFonts w:ascii="仿宋_GB2312" w:hAnsi="仿宋_GB2312" w:eastAsia="仿宋_GB2312" w:cs="仿宋_GB2312"/>
          <w:sz w:val="32"/>
          <w:szCs w:val="32"/>
        </w:rPr>
      </w:pPr>
    </w:p>
    <w:p>
      <w:pPr>
        <w:wordWrap w:val="0"/>
        <w:ind w:firstLine="630"/>
        <w:rPr>
          <w:rFonts w:ascii="仿宋_GB2312" w:hAnsi="仿宋_GB2312" w:eastAsia="仿宋_GB2312" w:cs="仿宋_GB2312"/>
          <w:sz w:val="32"/>
          <w:szCs w:val="32"/>
        </w:rPr>
      </w:pPr>
    </w:p>
    <w:p>
      <w:pPr>
        <w:spacing w:line="375" w:lineRule="atLeast"/>
        <w:ind w:left="2940" w:leftChars="14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住房城乡建设行政主管部门名称</w:t>
      </w:r>
    </w:p>
    <w:p>
      <w:pPr>
        <w:spacing w:line="375" w:lineRule="atLeast"/>
        <w:ind w:left="2940" w:leftChars="14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jc w:val="left"/>
        <w:rPr>
          <w:rFonts w:ascii="仿宋" w:hAnsi="仿宋" w:eastAsia="仿宋"/>
          <w:b/>
          <w:sz w:val="32"/>
          <w:szCs w:val="32"/>
        </w:rPr>
      </w:pPr>
      <w:r>
        <w:rPr>
          <w:rFonts w:hint="eastAsia" w:ascii="仿宋" w:hAnsi="仿宋" w:eastAsia="仿宋"/>
          <w:b/>
          <w:sz w:val="32"/>
          <w:szCs w:val="32"/>
        </w:rPr>
        <w:t>附件四：</w:t>
      </w:r>
    </w:p>
    <w:p>
      <w:pPr>
        <w:widowControl/>
        <w:jc w:val="left"/>
        <w:rPr>
          <w:rFonts w:ascii="仿宋" w:hAnsi="仿宋" w:eastAsia="仿宋"/>
          <w:b/>
          <w:sz w:val="32"/>
          <w:szCs w:val="32"/>
        </w:rPr>
      </w:pPr>
    </w:p>
    <w:p>
      <w:pPr>
        <w:pStyle w:val="8"/>
        <w:shd w:val="clear" w:color="auto" w:fill="FFFFFF"/>
        <w:spacing w:before="0" w:beforeAutospacing="0" w:after="0" w:afterAutospacing="0" w:line="660" w:lineRule="exact"/>
        <w:ind w:left="119" w:right="119"/>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关于对招标投标活动投诉事项予以</w:t>
      </w:r>
    </w:p>
    <w:p>
      <w:pPr>
        <w:pStyle w:val="8"/>
        <w:shd w:val="clear" w:color="auto" w:fill="FFFFFF"/>
        <w:spacing w:before="0" w:beforeAutospacing="0" w:after="0" w:afterAutospacing="0" w:line="660" w:lineRule="exact"/>
        <w:ind w:left="119" w:right="119"/>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color w:val="000000"/>
          <w:sz w:val="44"/>
          <w:szCs w:val="44"/>
        </w:rPr>
        <w:t>陈述和申辩的函</w:t>
      </w:r>
      <w:r>
        <w:rPr>
          <w:rFonts w:hint="eastAsia" w:ascii="方正小标宋简体" w:hAnsi="方正小标宋简体" w:eastAsia="方正小标宋简体" w:cs="方正小标宋简体"/>
          <w:b/>
          <w:bCs/>
          <w:sz w:val="32"/>
          <w:szCs w:val="32"/>
        </w:rPr>
        <w:t>（参考格式）</w:t>
      </w:r>
    </w:p>
    <w:p>
      <w:pPr>
        <w:widowControl/>
        <w:jc w:val="left"/>
        <w:rPr>
          <w:rFonts w:ascii="仿宋" w:hAnsi="仿宋" w:eastAsia="仿宋"/>
          <w:b/>
          <w:sz w:val="32"/>
          <w:szCs w:val="32"/>
        </w:rPr>
      </w:pPr>
    </w:p>
    <w:p>
      <w:pPr>
        <w:wordWrap w:val="0"/>
        <w:rPr>
          <w:rFonts w:ascii="仿宋" w:hAnsi="仿宋" w:eastAsia="仿宋"/>
          <w:sz w:val="32"/>
          <w:szCs w:val="32"/>
        </w:rPr>
      </w:pPr>
      <w:r>
        <w:rPr>
          <w:rFonts w:hint="eastAsia" w:ascii="仿宋" w:hAnsi="仿宋" w:eastAsia="仿宋"/>
          <w:sz w:val="32"/>
          <w:szCs w:val="32"/>
          <w:u w:val="single"/>
        </w:rPr>
        <w:t>（被投诉人名称）</w:t>
      </w:r>
      <w:r>
        <w:rPr>
          <w:rFonts w:hint="eastAsia" w:ascii="仿宋" w:hAnsi="仿宋" w:eastAsia="仿宋"/>
          <w:sz w:val="32"/>
          <w:szCs w:val="32"/>
        </w:rPr>
        <w:t>：</w:t>
      </w:r>
    </w:p>
    <w:p>
      <w:pPr>
        <w:wordWrap w:val="0"/>
        <w:ind w:firstLine="640" w:firstLineChars="200"/>
        <w:rPr>
          <w:rFonts w:ascii="仿宋" w:hAnsi="仿宋" w:eastAsia="仿宋"/>
          <w:sz w:val="32"/>
          <w:szCs w:val="32"/>
        </w:rPr>
      </w:pPr>
      <w:r>
        <w:rPr>
          <w:rFonts w:hint="eastAsia" w:ascii="仿宋" w:hAnsi="仿宋" w:eastAsia="仿宋"/>
          <w:sz w:val="32"/>
          <w:szCs w:val="32"/>
        </w:rPr>
        <w:t>本机关已受理</w:t>
      </w:r>
      <w:r>
        <w:rPr>
          <w:rFonts w:hint="eastAsia" w:ascii="仿宋" w:hAnsi="仿宋" w:eastAsia="仿宋"/>
          <w:sz w:val="32"/>
          <w:szCs w:val="32"/>
          <w:u w:val="single"/>
        </w:rPr>
        <w:t>（项目名称）</w:t>
      </w:r>
      <w:r>
        <w:rPr>
          <w:rFonts w:hint="eastAsia" w:ascii="仿宋" w:hAnsi="仿宋" w:eastAsia="仿宋"/>
          <w:sz w:val="32"/>
          <w:szCs w:val="32"/>
        </w:rPr>
        <w:t>项目招标投标活动的投标人或者其他利害关系人的投诉。投诉反映你单位</w:t>
      </w:r>
      <w:r>
        <w:rPr>
          <w:rFonts w:hint="eastAsia" w:ascii="仿宋" w:hAnsi="仿宋" w:eastAsia="仿宋"/>
          <w:sz w:val="32"/>
          <w:szCs w:val="32"/>
          <w:u w:val="single"/>
        </w:rPr>
        <w:t xml:space="preserve"> 投诉书的受理投诉事项内容，</w:t>
      </w:r>
      <w:r>
        <w:rPr>
          <w:rFonts w:hint="eastAsia" w:ascii="仿宋" w:hAnsi="仿宋" w:eastAsia="仿宋"/>
          <w:sz w:val="32"/>
          <w:szCs w:val="32"/>
        </w:rPr>
        <w:t>依据《</w:t>
      </w:r>
      <w:r>
        <w:rPr>
          <w:rStyle w:val="12"/>
          <w:rFonts w:hint="eastAsia" w:ascii="仿宋" w:hAnsi="仿宋" w:eastAsia="仿宋"/>
          <w:b w:val="0"/>
          <w:sz w:val="32"/>
          <w:szCs w:val="32"/>
        </w:rPr>
        <w:t>工程建设项目招标投标活动投诉处理办法</w:t>
      </w:r>
      <w:r>
        <w:rPr>
          <w:rFonts w:hint="eastAsia" w:ascii="仿宋" w:hAnsi="仿宋" w:eastAsia="仿宋"/>
          <w:sz w:val="32"/>
          <w:szCs w:val="32"/>
        </w:rPr>
        <w:t>》第十六条之规定，听取你单位对</w:t>
      </w:r>
      <w:r>
        <w:rPr>
          <w:rFonts w:hint="eastAsia" w:ascii="仿宋" w:hAnsi="仿宋" w:eastAsia="仿宋"/>
          <w:sz w:val="32"/>
          <w:szCs w:val="32"/>
          <w:u w:val="single"/>
        </w:rPr>
        <w:t xml:space="preserve"> 投诉书的受理投诉事项内容的陈述和申辩</w:t>
      </w:r>
      <w:r>
        <w:rPr>
          <w:rFonts w:hint="eastAsia" w:ascii="仿宋" w:hAnsi="仿宋" w:eastAsia="仿宋"/>
          <w:sz w:val="32"/>
          <w:szCs w:val="32"/>
        </w:rPr>
        <w:t>意见。</w:t>
      </w:r>
    </w:p>
    <w:p>
      <w:pPr>
        <w:wordWrap w:val="0"/>
        <w:ind w:firstLine="640" w:firstLineChars="200"/>
        <w:rPr>
          <w:rFonts w:ascii="仿宋" w:hAnsi="仿宋" w:eastAsia="仿宋"/>
          <w:sz w:val="32"/>
          <w:szCs w:val="32"/>
        </w:rPr>
      </w:pPr>
      <w:r>
        <w:rPr>
          <w:rFonts w:hint="eastAsia" w:ascii="仿宋" w:hAnsi="仿宋" w:eastAsia="仿宋"/>
          <w:sz w:val="32"/>
          <w:szCs w:val="32"/>
        </w:rPr>
        <w:t>请你单位于年月日前，向</w:t>
      </w:r>
      <w:r>
        <w:rPr>
          <w:rFonts w:hint="eastAsia" w:ascii="仿宋" w:hAnsi="仿宋" w:eastAsia="仿宋"/>
          <w:sz w:val="32"/>
          <w:szCs w:val="32"/>
          <w:u w:val="single"/>
        </w:rPr>
        <w:t>投诉处理承办机构名称</w:t>
      </w:r>
      <w:r>
        <w:rPr>
          <w:rFonts w:hint="eastAsia" w:ascii="仿宋" w:hAnsi="仿宋" w:eastAsia="仿宋"/>
          <w:sz w:val="32"/>
          <w:szCs w:val="32"/>
        </w:rPr>
        <w:t>提交书面陈述和申辩函。若逾期不提交书面陈述和申辩函，则视为放弃陈述和申辩权。</w:t>
      </w:r>
    </w:p>
    <w:p>
      <w:pPr>
        <w:wordWrap w:val="0"/>
        <w:ind w:firstLine="630"/>
        <w:rPr>
          <w:rFonts w:ascii="仿宋" w:hAnsi="仿宋" w:eastAsia="仿宋"/>
          <w:sz w:val="32"/>
          <w:szCs w:val="32"/>
        </w:rPr>
      </w:pPr>
      <w:r>
        <w:rPr>
          <w:rFonts w:hint="eastAsia" w:ascii="仿宋" w:hAnsi="仿宋" w:eastAsia="仿宋"/>
          <w:sz w:val="32"/>
          <w:szCs w:val="32"/>
        </w:rPr>
        <w:t>特此函告。</w:t>
      </w:r>
    </w:p>
    <w:p>
      <w:pPr>
        <w:wordWrap w:val="0"/>
        <w:ind w:firstLine="630"/>
        <w:rPr>
          <w:rFonts w:ascii="仿宋" w:hAnsi="仿宋" w:eastAsia="仿宋"/>
          <w:sz w:val="32"/>
          <w:szCs w:val="32"/>
        </w:rPr>
      </w:pPr>
    </w:p>
    <w:p>
      <w:pPr>
        <w:wordWrap w:val="0"/>
        <w:ind w:firstLine="630"/>
        <w:rPr>
          <w:rFonts w:ascii="仿宋" w:hAnsi="仿宋" w:eastAsia="仿宋"/>
          <w:sz w:val="32"/>
          <w:szCs w:val="32"/>
        </w:rPr>
      </w:pPr>
    </w:p>
    <w:p>
      <w:pPr>
        <w:spacing w:line="375" w:lineRule="atLeast"/>
        <w:ind w:left="2940" w:leftChars="1400"/>
        <w:jc w:val="center"/>
        <w:rPr>
          <w:rFonts w:ascii="仿宋" w:hAnsi="仿宋" w:eastAsia="仿宋"/>
          <w:sz w:val="32"/>
          <w:szCs w:val="32"/>
        </w:rPr>
      </w:pPr>
      <w:r>
        <w:rPr>
          <w:rFonts w:hint="eastAsia" w:ascii="仿宋" w:hAnsi="仿宋" w:eastAsia="仿宋"/>
          <w:sz w:val="32"/>
          <w:szCs w:val="32"/>
        </w:rPr>
        <w:t>住房城乡建设行政主管部门名称</w:t>
      </w:r>
    </w:p>
    <w:p>
      <w:pPr>
        <w:spacing w:line="375" w:lineRule="atLeast"/>
        <w:ind w:left="2940" w:leftChars="1400"/>
        <w:jc w:val="center"/>
        <w:rPr>
          <w:rFonts w:ascii="仿宋" w:hAnsi="仿宋" w:eastAsia="仿宋" w:cs="宋体"/>
          <w:kern w:val="0"/>
          <w:sz w:val="32"/>
          <w:szCs w:val="32"/>
        </w:rPr>
      </w:pPr>
      <w:r>
        <w:rPr>
          <w:rFonts w:hint="eastAsia" w:ascii="仿宋" w:hAnsi="仿宋" w:eastAsia="仿宋" w:cs="宋体"/>
          <w:kern w:val="0"/>
          <w:sz w:val="32"/>
          <w:szCs w:val="32"/>
        </w:rPr>
        <w:t>年 月日</w:t>
      </w:r>
    </w:p>
    <w:p>
      <w:pPr>
        <w:rPr>
          <w:rFonts w:ascii="仿宋" w:hAnsi="仿宋" w:eastAsia="仿宋"/>
          <w:b/>
          <w:sz w:val="32"/>
          <w:szCs w:val="32"/>
        </w:rPr>
      </w:pPr>
      <w:r>
        <w:rPr>
          <w:rFonts w:ascii="仿宋" w:hAnsi="仿宋" w:eastAsia="仿宋"/>
          <w:sz w:val="32"/>
          <w:szCs w:val="32"/>
        </w:rPr>
        <w:br w:type="page"/>
      </w:r>
    </w:p>
    <w:p>
      <w:pPr>
        <w:widowControl/>
        <w:jc w:val="left"/>
        <w:rPr>
          <w:rFonts w:ascii="仿宋" w:hAnsi="仿宋" w:eastAsia="仿宋"/>
          <w:b/>
          <w:sz w:val="32"/>
          <w:szCs w:val="32"/>
        </w:rPr>
      </w:pPr>
      <w:r>
        <w:rPr>
          <w:rFonts w:hint="eastAsia" w:ascii="仿宋" w:hAnsi="仿宋" w:eastAsia="仿宋"/>
          <w:b/>
          <w:sz w:val="32"/>
          <w:szCs w:val="32"/>
        </w:rPr>
        <w:t>附件五：</w:t>
      </w:r>
    </w:p>
    <w:p>
      <w:pPr>
        <w:widowControl/>
        <w:jc w:val="left"/>
        <w:rPr>
          <w:rFonts w:ascii="仿宋" w:hAnsi="仿宋" w:eastAsia="仿宋"/>
          <w:b/>
          <w:sz w:val="32"/>
          <w:szCs w:val="32"/>
        </w:rPr>
      </w:pPr>
    </w:p>
    <w:p>
      <w:pPr>
        <w:pStyle w:val="8"/>
        <w:shd w:val="clear" w:color="auto" w:fill="FFFFFF"/>
        <w:spacing w:before="0" w:beforeAutospacing="0" w:after="0" w:afterAutospacing="0" w:line="660" w:lineRule="exact"/>
        <w:ind w:left="119" w:right="119"/>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关于对（项目名称）招标投标活动</w:t>
      </w:r>
    </w:p>
    <w:p>
      <w:pPr>
        <w:pStyle w:val="8"/>
        <w:shd w:val="clear" w:color="auto" w:fill="FFFFFF"/>
        <w:spacing w:before="0" w:beforeAutospacing="0" w:after="0" w:afterAutospacing="0" w:line="660" w:lineRule="exact"/>
        <w:ind w:left="119" w:right="119"/>
        <w:jc w:val="center"/>
        <w:rPr>
          <w:rFonts w:ascii="华文中宋" w:hAnsi="华文中宋" w:eastAsia="华文中宋" w:cs="宋体"/>
          <w:b/>
          <w:bCs/>
          <w:color w:val="000000"/>
          <w:sz w:val="44"/>
          <w:szCs w:val="44"/>
        </w:rPr>
      </w:pPr>
      <w:r>
        <w:rPr>
          <w:rFonts w:hint="eastAsia" w:ascii="方正小标宋简体" w:hAnsi="方正小标宋简体" w:eastAsia="方正小标宋简体" w:cs="方正小标宋简体"/>
          <w:b/>
          <w:bCs/>
          <w:color w:val="000000"/>
          <w:sz w:val="44"/>
          <w:szCs w:val="44"/>
        </w:rPr>
        <w:t>投诉的处理决定</w:t>
      </w:r>
      <w:r>
        <w:rPr>
          <w:rFonts w:hint="eastAsia" w:ascii="方正小标宋简体" w:hAnsi="方正小标宋简体" w:eastAsia="方正小标宋简体" w:cs="方正小标宋简体"/>
          <w:b/>
          <w:bCs/>
          <w:sz w:val="32"/>
          <w:szCs w:val="32"/>
        </w:rPr>
        <w:t>（参考格式）</w:t>
      </w:r>
    </w:p>
    <w:p>
      <w:pPr>
        <w:wordWrap w:val="0"/>
        <w:jc w:val="center"/>
        <w:rPr>
          <w:b/>
          <w:sz w:val="44"/>
          <w:szCs w:val="44"/>
        </w:rPr>
      </w:pPr>
    </w:p>
    <w:p>
      <w:pPr>
        <w:wordWrap w:val="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投诉人、被投诉人、其他有关当事人名称：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本机关于年月日收到</w:t>
      </w:r>
      <w:r>
        <w:rPr>
          <w:rFonts w:hint="eastAsia" w:ascii="仿宋_GB2312" w:hAnsi="仿宋_GB2312" w:eastAsia="仿宋_GB2312" w:cs="仿宋_GB2312"/>
          <w:sz w:val="32"/>
          <w:szCs w:val="32"/>
          <w:u w:val="single"/>
        </w:rPr>
        <w:t>（投诉人）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招标投标活动的投诉，针对受理的投诉事项，本机关已依法调查核实，并作出处理决定。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一、投诉人和被投诉人的名称、住址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二、投诉人的投诉事项及主张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三、被投诉人的答辩及请求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四、调查认定的基本事实</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五、处理意见及依据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六、法律救济途径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不服本处理决定的有关当事人，可以自收到本处理决定之日起六十日内依法向</w:t>
      </w:r>
      <w:r>
        <w:rPr>
          <w:rFonts w:hint="eastAsia" w:ascii="仿宋_GB2312" w:hAnsi="仿宋_GB2312" w:eastAsia="仿宋_GB2312" w:cs="仿宋_GB2312"/>
          <w:sz w:val="32"/>
          <w:szCs w:val="32"/>
          <w:u w:val="single"/>
        </w:rPr>
        <w:t>（同级人民政府或上一级住房城乡建设行政主管部门名称）</w:t>
      </w:r>
      <w:r>
        <w:rPr>
          <w:rFonts w:hint="eastAsia" w:ascii="仿宋_GB2312" w:hAnsi="仿宋_GB2312" w:eastAsia="仿宋_GB2312" w:cs="仿宋_GB2312"/>
          <w:sz w:val="32"/>
          <w:szCs w:val="32"/>
        </w:rPr>
        <w:t>申请行政复议，或自收到本处理决定之日起六个月内依法向人民法院提起行政诉讼。</w:t>
      </w:r>
    </w:p>
    <w:p>
      <w:pPr>
        <w:spacing w:line="520" w:lineRule="exact"/>
        <w:rPr>
          <w:rFonts w:ascii="仿宋_GB2312" w:hAnsi="仿宋_GB2312" w:eastAsia="仿宋_GB2312" w:cs="仿宋_GB2312"/>
          <w:sz w:val="32"/>
          <w:szCs w:val="32"/>
        </w:rPr>
      </w:pPr>
    </w:p>
    <w:p>
      <w:pPr>
        <w:spacing w:line="375" w:lineRule="atLeast"/>
        <w:ind w:left="2940" w:leftChars="14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住房城乡建设行政主管部门名称</w:t>
      </w:r>
    </w:p>
    <w:p>
      <w:pPr>
        <w:spacing w:line="375" w:lineRule="atLeast"/>
        <w:ind w:left="2940" w:leftChars="14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sectPr>
      <w:pgSz w:w="11906" w:h="16838"/>
      <w:pgMar w:top="2098" w:right="1984" w:bottom="1417" w:left="1587" w:header="851" w:footer="992" w:gutter="0"/>
      <w:cols w:space="425" w:num="1"/>
      <w:docGrid w:type="lines" w:linePitch="595" w:charSpace="2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565"/>
    </w:sdtPr>
    <w:sdtContent>
      <w:p>
        <w:pPr>
          <w:pStyle w:val="6"/>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8EDC7"/>
    <w:multiLevelType w:val="singleLevel"/>
    <w:tmpl w:val="E768ED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7"/>
  <w:drawingGridVerticalSpacing w:val="59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C"/>
    <w:rsid w:val="00003F2B"/>
    <w:rsid w:val="00010D9F"/>
    <w:rsid w:val="00023138"/>
    <w:rsid w:val="000A0081"/>
    <w:rsid w:val="000A4DE8"/>
    <w:rsid w:val="000C04A9"/>
    <w:rsid w:val="000F7B42"/>
    <w:rsid w:val="000F7DAC"/>
    <w:rsid w:val="0011588F"/>
    <w:rsid w:val="00141540"/>
    <w:rsid w:val="00142D1A"/>
    <w:rsid w:val="00153934"/>
    <w:rsid w:val="0016770A"/>
    <w:rsid w:val="002003C0"/>
    <w:rsid w:val="002011F7"/>
    <w:rsid w:val="0021199A"/>
    <w:rsid w:val="00277B7F"/>
    <w:rsid w:val="002913F6"/>
    <w:rsid w:val="00292DD7"/>
    <w:rsid w:val="002A333F"/>
    <w:rsid w:val="002C0F68"/>
    <w:rsid w:val="002D1F11"/>
    <w:rsid w:val="002F087E"/>
    <w:rsid w:val="002F7013"/>
    <w:rsid w:val="00323CC6"/>
    <w:rsid w:val="00336756"/>
    <w:rsid w:val="00345325"/>
    <w:rsid w:val="0036600F"/>
    <w:rsid w:val="00370610"/>
    <w:rsid w:val="003B0C3F"/>
    <w:rsid w:val="003D1556"/>
    <w:rsid w:val="004117E5"/>
    <w:rsid w:val="00435A0C"/>
    <w:rsid w:val="004629CB"/>
    <w:rsid w:val="00475924"/>
    <w:rsid w:val="004B3478"/>
    <w:rsid w:val="004F657C"/>
    <w:rsid w:val="00521EBF"/>
    <w:rsid w:val="00526166"/>
    <w:rsid w:val="00537F8D"/>
    <w:rsid w:val="00595B7C"/>
    <w:rsid w:val="005F0DB1"/>
    <w:rsid w:val="00630316"/>
    <w:rsid w:val="006427A5"/>
    <w:rsid w:val="006460F7"/>
    <w:rsid w:val="00671F56"/>
    <w:rsid w:val="00676233"/>
    <w:rsid w:val="006C0156"/>
    <w:rsid w:val="006D6AD0"/>
    <w:rsid w:val="006E0CA0"/>
    <w:rsid w:val="00706D45"/>
    <w:rsid w:val="00733112"/>
    <w:rsid w:val="00741059"/>
    <w:rsid w:val="00762D8A"/>
    <w:rsid w:val="00775616"/>
    <w:rsid w:val="0078733C"/>
    <w:rsid w:val="00805B8C"/>
    <w:rsid w:val="00832853"/>
    <w:rsid w:val="0086479B"/>
    <w:rsid w:val="00896CA7"/>
    <w:rsid w:val="008B4200"/>
    <w:rsid w:val="008E09F2"/>
    <w:rsid w:val="008E5CF4"/>
    <w:rsid w:val="008F174B"/>
    <w:rsid w:val="0090361A"/>
    <w:rsid w:val="009073A6"/>
    <w:rsid w:val="009348C1"/>
    <w:rsid w:val="009B6648"/>
    <w:rsid w:val="009D3BE9"/>
    <w:rsid w:val="009D6064"/>
    <w:rsid w:val="009D710F"/>
    <w:rsid w:val="009F42FC"/>
    <w:rsid w:val="00A10F7D"/>
    <w:rsid w:val="00B066CF"/>
    <w:rsid w:val="00B712BA"/>
    <w:rsid w:val="00BA61F1"/>
    <w:rsid w:val="00BB0F17"/>
    <w:rsid w:val="00BC0ACE"/>
    <w:rsid w:val="00BC50B5"/>
    <w:rsid w:val="00BC5FEE"/>
    <w:rsid w:val="00BD2BBE"/>
    <w:rsid w:val="00BF4726"/>
    <w:rsid w:val="00BF4B91"/>
    <w:rsid w:val="00C14C5F"/>
    <w:rsid w:val="00C30DB0"/>
    <w:rsid w:val="00C32BAC"/>
    <w:rsid w:val="00C45F8E"/>
    <w:rsid w:val="00C9620D"/>
    <w:rsid w:val="00CA1052"/>
    <w:rsid w:val="00CB5068"/>
    <w:rsid w:val="00D01758"/>
    <w:rsid w:val="00D07F8D"/>
    <w:rsid w:val="00D113D2"/>
    <w:rsid w:val="00D43A7E"/>
    <w:rsid w:val="00D60AAC"/>
    <w:rsid w:val="00D96548"/>
    <w:rsid w:val="00DA5371"/>
    <w:rsid w:val="00E01B04"/>
    <w:rsid w:val="00E50C82"/>
    <w:rsid w:val="00E5101F"/>
    <w:rsid w:val="00E6347C"/>
    <w:rsid w:val="00E87D54"/>
    <w:rsid w:val="00E90775"/>
    <w:rsid w:val="00EC1C76"/>
    <w:rsid w:val="00EC5662"/>
    <w:rsid w:val="00F20069"/>
    <w:rsid w:val="00F2059D"/>
    <w:rsid w:val="00F3261E"/>
    <w:rsid w:val="00F3374C"/>
    <w:rsid w:val="00F47DE6"/>
    <w:rsid w:val="00F61911"/>
    <w:rsid w:val="00FA72E3"/>
    <w:rsid w:val="00FB55E4"/>
    <w:rsid w:val="00FC1B27"/>
    <w:rsid w:val="013263AB"/>
    <w:rsid w:val="015B1965"/>
    <w:rsid w:val="017E607A"/>
    <w:rsid w:val="01813BE8"/>
    <w:rsid w:val="019154E1"/>
    <w:rsid w:val="01B44238"/>
    <w:rsid w:val="01F63493"/>
    <w:rsid w:val="02070CCB"/>
    <w:rsid w:val="02553CD5"/>
    <w:rsid w:val="0283684E"/>
    <w:rsid w:val="02BC4D78"/>
    <w:rsid w:val="02CA0491"/>
    <w:rsid w:val="02DF1310"/>
    <w:rsid w:val="030976F4"/>
    <w:rsid w:val="030E15FD"/>
    <w:rsid w:val="0365521D"/>
    <w:rsid w:val="03967B93"/>
    <w:rsid w:val="03A11082"/>
    <w:rsid w:val="03AC12F1"/>
    <w:rsid w:val="03F232A1"/>
    <w:rsid w:val="040B49D9"/>
    <w:rsid w:val="04270232"/>
    <w:rsid w:val="04776D2E"/>
    <w:rsid w:val="04CF7682"/>
    <w:rsid w:val="04D96562"/>
    <w:rsid w:val="05084D45"/>
    <w:rsid w:val="05513F63"/>
    <w:rsid w:val="056E10BB"/>
    <w:rsid w:val="05753F8C"/>
    <w:rsid w:val="057926CB"/>
    <w:rsid w:val="058E6129"/>
    <w:rsid w:val="060A2E95"/>
    <w:rsid w:val="060E584B"/>
    <w:rsid w:val="062C7618"/>
    <w:rsid w:val="062D255A"/>
    <w:rsid w:val="06306678"/>
    <w:rsid w:val="064814F2"/>
    <w:rsid w:val="066B4728"/>
    <w:rsid w:val="068727D4"/>
    <w:rsid w:val="06BA0E13"/>
    <w:rsid w:val="08071325"/>
    <w:rsid w:val="087F3F30"/>
    <w:rsid w:val="08931B71"/>
    <w:rsid w:val="08DB2A12"/>
    <w:rsid w:val="0901460C"/>
    <w:rsid w:val="0911685C"/>
    <w:rsid w:val="096658F0"/>
    <w:rsid w:val="098511FF"/>
    <w:rsid w:val="09902072"/>
    <w:rsid w:val="09A35C42"/>
    <w:rsid w:val="09B0036B"/>
    <w:rsid w:val="09C806CD"/>
    <w:rsid w:val="09E01A1B"/>
    <w:rsid w:val="09E63BBE"/>
    <w:rsid w:val="09ED1BF6"/>
    <w:rsid w:val="09F83FE1"/>
    <w:rsid w:val="0A1D12F3"/>
    <w:rsid w:val="0A354FDC"/>
    <w:rsid w:val="0A444EF8"/>
    <w:rsid w:val="0A4712A9"/>
    <w:rsid w:val="0A4B0B2F"/>
    <w:rsid w:val="0A5029EC"/>
    <w:rsid w:val="0A7815EB"/>
    <w:rsid w:val="0A7D6EC1"/>
    <w:rsid w:val="0A970974"/>
    <w:rsid w:val="0AC52839"/>
    <w:rsid w:val="0AD505E7"/>
    <w:rsid w:val="0AD80DCD"/>
    <w:rsid w:val="0AF27D55"/>
    <w:rsid w:val="0BAB21B8"/>
    <w:rsid w:val="0BC50DFA"/>
    <w:rsid w:val="0BC93494"/>
    <w:rsid w:val="0BD64F6E"/>
    <w:rsid w:val="0BF43C02"/>
    <w:rsid w:val="0C0D4571"/>
    <w:rsid w:val="0C1171C8"/>
    <w:rsid w:val="0C1F2140"/>
    <w:rsid w:val="0C316042"/>
    <w:rsid w:val="0C8C3BCD"/>
    <w:rsid w:val="0C8E53C6"/>
    <w:rsid w:val="0CA47C46"/>
    <w:rsid w:val="0CAF1B2C"/>
    <w:rsid w:val="0CB023F7"/>
    <w:rsid w:val="0CB77993"/>
    <w:rsid w:val="0CB853BC"/>
    <w:rsid w:val="0CD46522"/>
    <w:rsid w:val="0CEA2A7C"/>
    <w:rsid w:val="0D495467"/>
    <w:rsid w:val="0D520C20"/>
    <w:rsid w:val="0D572130"/>
    <w:rsid w:val="0D6B31CE"/>
    <w:rsid w:val="0D8B02BA"/>
    <w:rsid w:val="0E19683B"/>
    <w:rsid w:val="0E6239A5"/>
    <w:rsid w:val="0E721332"/>
    <w:rsid w:val="0E852881"/>
    <w:rsid w:val="0E970C61"/>
    <w:rsid w:val="0F190CCB"/>
    <w:rsid w:val="0F191743"/>
    <w:rsid w:val="0F3D327B"/>
    <w:rsid w:val="0F452B38"/>
    <w:rsid w:val="0FA94C23"/>
    <w:rsid w:val="0FAF45C8"/>
    <w:rsid w:val="0FDB2BE1"/>
    <w:rsid w:val="10031BEA"/>
    <w:rsid w:val="101D3B68"/>
    <w:rsid w:val="103175DE"/>
    <w:rsid w:val="10532EFF"/>
    <w:rsid w:val="10552451"/>
    <w:rsid w:val="105E3B39"/>
    <w:rsid w:val="106C1E20"/>
    <w:rsid w:val="10A04E14"/>
    <w:rsid w:val="10AB1797"/>
    <w:rsid w:val="10AC285E"/>
    <w:rsid w:val="112A54BF"/>
    <w:rsid w:val="11432A1D"/>
    <w:rsid w:val="11491686"/>
    <w:rsid w:val="115B113E"/>
    <w:rsid w:val="11766B64"/>
    <w:rsid w:val="11781699"/>
    <w:rsid w:val="117A53AF"/>
    <w:rsid w:val="11BC0A9F"/>
    <w:rsid w:val="11C53EFD"/>
    <w:rsid w:val="11DE7594"/>
    <w:rsid w:val="12490A76"/>
    <w:rsid w:val="127B449E"/>
    <w:rsid w:val="12C50CA3"/>
    <w:rsid w:val="13167238"/>
    <w:rsid w:val="134B03F5"/>
    <w:rsid w:val="136F02D7"/>
    <w:rsid w:val="138C1674"/>
    <w:rsid w:val="138F5A40"/>
    <w:rsid w:val="13DD107E"/>
    <w:rsid w:val="13F54FAD"/>
    <w:rsid w:val="14A838B5"/>
    <w:rsid w:val="14BA32AC"/>
    <w:rsid w:val="14ED0D7D"/>
    <w:rsid w:val="153D0FF9"/>
    <w:rsid w:val="15480A23"/>
    <w:rsid w:val="154C0A2C"/>
    <w:rsid w:val="1551749F"/>
    <w:rsid w:val="15830059"/>
    <w:rsid w:val="1585391B"/>
    <w:rsid w:val="15911E03"/>
    <w:rsid w:val="15970634"/>
    <w:rsid w:val="15F46435"/>
    <w:rsid w:val="162019CA"/>
    <w:rsid w:val="167279CB"/>
    <w:rsid w:val="16910AEB"/>
    <w:rsid w:val="169C7E20"/>
    <w:rsid w:val="169F35DD"/>
    <w:rsid w:val="16C23129"/>
    <w:rsid w:val="17020C2B"/>
    <w:rsid w:val="171C6D66"/>
    <w:rsid w:val="17692409"/>
    <w:rsid w:val="17704836"/>
    <w:rsid w:val="17765CAB"/>
    <w:rsid w:val="1777156B"/>
    <w:rsid w:val="179205F3"/>
    <w:rsid w:val="17B144D2"/>
    <w:rsid w:val="17C8666C"/>
    <w:rsid w:val="1838594C"/>
    <w:rsid w:val="18B54357"/>
    <w:rsid w:val="18CD41BF"/>
    <w:rsid w:val="18DF1539"/>
    <w:rsid w:val="19151AFA"/>
    <w:rsid w:val="194D56D6"/>
    <w:rsid w:val="1952054D"/>
    <w:rsid w:val="19520EFA"/>
    <w:rsid w:val="195F6CE9"/>
    <w:rsid w:val="196F17BC"/>
    <w:rsid w:val="1986277F"/>
    <w:rsid w:val="19EC680E"/>
    <w:rsid w:val="1A0C5D26"/>
    <w:rsid w:val="1A0F2893"/>
    <w:rsid w:val="1A186228"/>
    <w:rsid w:val="1A302BF3"/>
    <w:rsid w:val="1A55356C"/>
    <w:rsid w:val="1A663DAF"/>
    <w:rsid w:val="1AD353FB"/>
    <w:rsid w:val="1AFC3B4B"/>
    <w:rsid w:val="1AFF2A82"/>
    <w:rsid w:val="1B1C7A01"/>
    <w:rsid w:val="1B2A5AF2"/>
    <w:rsid w:val="1B34253E"/>
    <w:rsid w:val="1B53760B"/>
    <w:rsid w:val="1B5836F4"/>
    <w:rsid w:val="1B9D4B5D"/>
    <w:rsid w:val="1C1D563B"/>
    <w:rsid w:val="1C343BDB"/>
    <w:rsid w:val="1CAA33C1"/>
    <w:rsid w:val="1CD13F4C"/>
    <w:rsid w:val="1D044921"/>
    <w:rsid w:val="1D2245D1"/>
    <w:rsid w:val="1D541055"/>
    <w:rsid w:val="1D8321A6"/>
    <w:rsid w:val="1DD73F85"/>
    <w:rsid w:val="1DEB2FC6"/>
    <w:rsid w:val="1DF07CA8"/>
    <w:rsid w:val="1E4D1D41"/>
    <w:rsid w:val="1E4E57D6"/>
    <w:rsid w:val="1E5730FE"/>
    <w:rsid w:val="1E885087"/>
    <w:rsid w:val="1EC438E4"/>
    <w:rsid w:val="1EEA459E"/>
    <w:rsid w:val="1F5425E1"/>
    <w:rsid w:val="1F600C9C"/>
    <w:rsid w:val="1F6365DE"/>
    <w:rsid w:val="205F1775"/>
    <w:rsid w:val="20A92F84"/>
    <w:rsid w:val="20CD4B5A"/>
    <w:rsid w:val="214262FC"/>
    <w:rsid w:val="21557E86"/>
    <w:rsid w:val="215D0679"/>
    <w:rsid w:val="21670464"/>
    <w:rsid w:val="216C4AC9"/>
    <w:rsid w:val="219260F0"/>
    <w:rsid w:val="21BE5270"/>
    <w:rsid w:val="21D6238D"/>
    <w:rsid w:val="21D85112"/>
    <w:rsid w:val="220C04BC"/>
    <w:rsid w:val="221B1AD1"/>
    <w:rsid w:val="222064EC"/>
    <w:rsid w:val="222654DE"/>
    <w:rsid w:val="225A07F0"/>
    <w:rsid w:val="228471F7"/>
    <w:rsid w:val="22AA596D"/>
    <w:rsid w:val="22AC5BB3"/>
    <w:rsid w:val="22EB419F"/>
    <w:rsid w:val="230F469A"/>
    <w:rsid w:val="231C5BB2"/>
    <w:rsid w:val="234050C4"/>
    <w:rsid w:val="2357233D"/>
    <w:rsid w:val="23654629"/>
    <w:rsid w:val="237C7A70"/>
    <w:rsid w:val="23A1289B"/>
    <w:rsid w:val="23E53392"/>
    <w:rsid w:val="23EF0042"/>
    <w:rsid w:val="23F3516F"/>
    <w:rsid w:val="23F52FBB"/>
    <w:rsid w:val="24743D2E"/>
    <w:rsid w:val="24836C4A"/>
    <w:rsid w:val="24F40958"/>
    <w:rsid w:val="25497AA1"/>
    <w:rsid w:val="2557773B"/>
    <w:rsid w:val="260011E2"/>
    <w:rsid w:val="26112FA8"/>
    <w:rsid w:val="26433807"/>
    <w:rsid w:val="264825AF"/>
    <w:rsid w:val="264E0C8E"/>
    <w:rsid w:val="266F64C4"/>
    <w:rsid w:val="2679108E"/>
    <w:rsid w:val="26891CFF"/>
    <w:rsid w:val="26955305"/>
    <w:rsid w:val="26B436D8"/>
    <w:rsid w:val="26CC097E"/>
    <w:rsid w:val="26D431E3"/>
    <w:rsid w:val="26DC5ECC"/>
    <w:rsid w:val="27044270"/>
    <w:rsid w:val="27175AE2"/>
    <w:rsid w:val="27224D83"/>
    <w:rsid w:val="275030AA"/>
    <w:rsid w:val="27615FC4"/>
    <w:rsid w:val="277A7BE9"/>
    <w:rsid w:val="277B2516"/>
    <w:rsid w:val="278C1550"/>
    <w:rsid w:val="27A83BCA"/>
    <w:rsid w:val="27C62E34"/>
    <w:rsid w:val="27D0355E"/>
    <w:rsid w:val="27FE5A00"/>
    <w:rsid w:val="28127B16"/>
    <w:rsid w:val="285733B9"/>
    <w:rsid w:val="286940A1"/>
    <w:rsid w:val="28955BAE"/>
    <w:rsid w:val="28A511B2"/>
    <w:rsid w:val="28D44B61"/>
    <w:rsid w:val="28D94B8B"/>
    <w:rsid w:val="28DB4026"/>
    <w:rsid w:val="28E20423"/>
    <w:rsid w:val="29131D36"/>
    <w:rsid w:val="29290EB9"/>
    <w:rsid w:val="29471238"/>
    <w:rsid w:val="294855A3"/>
    <w:rsid w:val="29494EC4"/>
    <w:rsid w:val="29864180"/>
    <w:rsid w:val="298A6F28"/>
    <w:rsid w:val="2A2C1A91"/>
    <w:rsid w:val="2A7931A5"/>
    <w:rsid w:val="2A851CBA"/>
    <w:rsid w:val="2AA1372C"/>
    <w:rsid w:val="2AD8636F"/>
    <w:rsid w:val="2ADF4D80"/>
    <w:rsid w:val="2AF97817"/>
    <w:rsid w:val="2B265566"/>
    <w:rsid w:val="2B2E3977"/>
    <w:rsid w:val="2B30039B"/>
    <w:rsid w:val="2B3457D3"/>
    <w:rsid w:val="2B543A84"/>
    <w:rsid w:val="2B5E188D"/>
    <w:rsid w:val="2B6F6CC3"/>
    <w:rsid w:val="2B734D8D"/>
    <w:rsid w:val="2BC946DE"/>
    <w:rsid w:val="2BEC5B9A"/>
    <w:rsid w:val="2C165BCF"/>
    <w:rsid w:val="2C181EEC"/>
    <w:rsid w:val="2C973963"/>
    <w:rsid w:val="2C9F66A7"/>
    <w:rsid w:val="2CAD1435"/>
    <w:rsid w:val="2CB243C8"/>
    <w:rsid w:val="2CD875C7"/>
    <w:rsid w:val="2D122A11"/>
    <w:rsid w:val="2D1632CB"/>
    <w:rsid w:val="2D4C622A"/>
    <w:rsid w:val="2D730551"/>
    <w:rsid w:val="2D77411E"/>
    <w:rsid w:val="2D822B55"/>
    <w:rsid w:val="2D874025"/>
    <w:rsid w:val="2DA57068"/>
    <w:rsid w:val="2DB7676E"/>
    <w:rsid w:val="2DCE476F"/>
    <w:rsid w:val="2DDE7D4A"/>
    <w:rsid w:val="2E2E470D"/>
    <w:rsid w:val="2E577263"/>
    <w:rsid w:val="2E704785"/>
    <w:rsid w:val="2E810562"/>
    <w:rsid w:val="2E8A3ADC"/>
    <w:rsid w:val="2EAE319D"/>
    <w:rsid w:val="2EBD3A6F"/>
    <w:rsid w:val="2F3727B8"/>
    <w:rsid w:val="2F5E6069"/>
    <w:rsid w:val="2F654BF0"/>
    <w:rsid w:val="2F77106F"/>
    <w:rsid w:val="2FC242CA"/>
    <w:rsid w:val="30535A91"/>
    <w:rsid w:val="30DD2524"/>
    <w:rsid w:val="30F938AC"/>
    <w:rsid w:val="30FF7B69"/>
    <w:rsid w:val="31265F8E"/>
    <w:rsid w:val="314F5869"/>
    <w:rsid w:val="316A3966"/>
    <w:rsid w:val="31855129"/>
    <w:rsid w:val="31873A8F"/>
    <w:rsid w:val="319A1CAD"/>
    <w:rsid w:val="319D78C1"/>
    <w:rsid w:val="31D06450"/>
    <w:rsid w:val="32075A3C"/>
    <w:rsid w:val="322538F2"/>
    <w:rsid w:val="32633478"/>
    <w:rsid w:val="326D7583"/>
    <w:rsid w:val="32916631"/>
    <w:rsid w:val="329571A0"/>
    <w:rsid w:val="32AD1905"/>
    <w:rsid w:val="32B01030"/>
    <w:rsid w:val="32C04538"/>
    <w:rsid w:val="32D2644E"/>
    <w:rsid w:val="33196563"/>
    <w:rsid w:val="334C178D"/>
    <w:rsid w:val="335D48BD"/>
    <w:rsid w:val="33AA0963"/>
    <w:rsid w:val="33DE63B5"/>
    <w:rsid w:val="33F31C03"/>
    <w:rsid w:val="340D4EE7"/>
    <w:rsid w:val="3415277B"/>
    <w:rsid w:val="34567EE7"/>
    <w:rsid w:val="34795147"/>
    <w:rsid w:val="3492406F"/>
    <w:rsid w:val="34E919D8"/>
    <w:rsid w:val="35247D23"/>
    <w:rsid w:val="354C2457"/>
    <w:rsid w:val="35AF56A8"/>
    <w:rsid w:val="35DC5B42"/>
    <w:rsid w:val="35F3789F"/>
    <w:rsid w:val="363223B1"/>
    <w:rsid w:val="364F05B4"/>
    <w:rsid w:val="36667E1E"/>
    <w:rsid w:val="367F3859"/>
    <w:rsid w:val="367F6A09"/>
    <w:rsid w:val="36931E8A"/>
    <w:rsid w:val="369734E2"/>
    <w:rsid w:val="36D16D83"/>
    <w:rsid w:val="37032C0A"/>
    <w:rsid w:val="37070ED4"/>
    <w:rsid w:val="371F0736"/>
    <w:rsid w:val="374E175B"/>
    <w:rsid w:val="376B59F9"/>
    <w:rsid w:val="37A23488"/>
    <w:rsid w:val="37B75B4C"/>
    <w:rsid w:val="381338E3"/>
    <w:rsid w:val="382E6F00"/>
    <w:rsid w:val="38331DA6"/>
    <w:rsid w:val="38824BFB"/>
    <w:rsid w:val="388823AD"/>
    <w:rsid w:val="388E6E5F"/>
    <w:rsid w:val="38B17A78"/>
    <w:rsid w:val="38D0568F"/>
    <w:rsid w:val="38D525EE"/>
    <w:rsid w:val="390D6CCD"/>
    <w:rsid w:val="392038E8"/>
    <w:rsid w:val="396D17AC"/>
    <w:rsid w:val="39A354CA"/>
    <w:rsid w:val="39C21765"/>
    <w:rsid w:val="39D37340"/>
    <w:rsid w:val="39DC4726"/>
    <w:rsid w:val="39DE5129"/>
    <w:rsid w:val="3A0F54BE"/>
    <w:rsid w:val="3A3B03B7"/>
    <w:rsid w:val="3A41012C"/>
    <w:rsid w:val="3A5E28BE"/>
    <w:rsid w:val="3A744222"/>
    <w:rsid w:val="3AA76F38"/>
    <w:rsid w:val="3ABB7CE8"/>
    <w:rsid w:val="3AC230CA"/>
    <w:rsid w:val="3ACF7ABB"/>
    <w:rsid w:val="3AD660DA"/>
    <w:rsid w:val="3AE2038D"/>
    <w:rsid w:val="3B295366"/>
    <w:rsid w:val="3B2F1C27"/>
    <w:rsid w:val="3B3835F2"/>
    <w:rsid w:val="3B507B11"/>
    <w:rsid w:val="3B551038"/>
    <w:rsid w:val="3B7B73E8"/>
    <w:rsid w:val="3B8B1EB8"/>
    <w:rsid w:val="3BEA24BB"/>
    <w:rsid w:val="3BFA3DF0"/>
    <w:rsid w:val="3BFD7816"/>
    <w:rsid w:val="3C0B1B8C"/>
    <w:rsid w:val="3C5617D7"/>
    <w:rsid w:val="3CA34892"/>
    <w:rsid w:val="3CAB1199"/>
    <w:rsid w:val="3CEA43B4"/>
    <w:rsid w:val="3CF324C1"/>
    <w:rsid w:val="3D2C2B52"/>
    <w:rsid w:val="3D4944F3"/>
    <w:rsid w:val="3D572DC4"/>
    <w:rsid w:val="3D964F5B"/>
    <w:rsid w:val="3DDE7E60"/>
    <w:rsid w:val="3E2E0FE3"/>
    <w:rsid w:val="3E2E691F"/>
    <w:rsid w:val="3E820674"/>
    <w:rsid w:val="3EC83DBD"/>
    <w:rsid w:val="3F2F48E0"/>
    <w:rsid w:val="3F3E115A"/>
    <w:rsid w:val="3F417CB0"/>
    <w:rsid w:val="3F7C68FF"/>
    <w:rsid w:val="3F933E79"/>
    <w:rsid w:val="3FD57CC9"/>
    <w:rsid w:val="400B1641"/>
    <w:rsid w:val="403A2DB0"/>
    <w:rsid w:val="40646C69"/>
    <w:rsid w:val="406651F4"/>
    <w:rsid w:val="406C6158"/>
    <w:rsid w:val="4072256F"/>
    <w:rsid w:val="40840947"/>
    <w:rsid w:val="40872C15"/>
    <w:rsid w:val="40B642DC"/>
    <w:rsid w:val="40C02093"/>
    <w:rsid w:val="40D57FC0"/>
    <w:rsid w:val="40F541DD"/>
    <w:rsid w:val="40F94507"/>
    <w:rsid w:val="410258C6"/>
    <w:rsid w:val="41121E71"/>
    <w:rsid w:val="41217B0E"/>
    <w:rsid w:val="4135567D"/>
    <w:rsid w:val="413D1907"/>
    <w:rsid w:val="4162786B"/>
    <w:rsid w:val="41651C4B"/>
    <w:rsid w:val="41804EB0"/>
    <w:rsid w:val="41A96D72"/>
    <w:rsid w:val="41AC1FCF"/>
    <w:rsid w:val="41C6162C"/>
    <w:rsid w:val="41CD796E"/>
    <w:rsid w:val="41DF08FB"/>
    <w:rsid w:val="422D64D5"/>
    <w:rsid w:val="42357B68"/>
    <w:rsid w:val="4284623C"/>
    <w:rsid w:val="42CB1CDC"/>
    <w:rsid w:val="42D336F8"/>
    <w:rsid w:val="42DA7751"/>
    <w:rsid w:val="430052D8"/>
    <w:rsid w:val="431B02A4"/>
    <w:rsid w:val="434A54BD"/>
    <w:rsid w:val="435A656A"/>
    <w:rsid w:val="437E0CD2"/>
    <w:rsid w:val="43B96A18"/>
    <w:rsid w:val="43BD2772"/>
    <w:rsid w:val="43E01969"/>
    <w:rsid w:val="44042BF1"/>
    <w:rsid w:val="443164D7"/>
    <w:rsid w:val="444F3173"/>
    <w:rsid w:val="445076F1"/>
    <w:rsid w:val="446458AA"/>
    <w:rsid w:val="44665240"/>
    <w:rsid w:val="44756086"/>
    <w:rsid w:val="44770591"/>
    <w:rsid w:val="44AB10BC"/>
    <w:rsid w:val="44EB2159"/>
    <w:rsid w:val="44F95C3B"/>
    <w:rsid w:val="44FD2F21"/>
    <w:rsid w:val="45683713"/>
    <w:rsid w:val="45E74711"/>
    <w:rsid w:val="46105172"/>
    <w:rsid w:val="463C3D2E"/>
    <w:rsid w:val="46A22EC7"/>
    <w:rsid w:val="46A40ADE"/>
    <w:rsid w:val="46AE6E56"/>
    <w:rsid w:val="46DC3447"/>
    <w:rsid w:val="46EB394A"/>
    <w:rsid w:val="46ED5AB0"/>
    <w:rsid w:val="471D085F"/>
    <w:rsid w:val="47215C15"/>
    <w:rsid w:val="47397383"/>
    <w:rsid w:val="476318E0"/>
    <w:rsid w:val="47640E01"/>
    <w:rsid w:val="477B7458"/>
    <w:rsid w:val="479E5C91"/>
    <w:rsid w:val="47EB52E3"/>
    <w:rsid w:val="481200B4"/>
    <w:rsid w:val="482F3313"/>
    <w:rsid w:val="483238A9"/>
    <w:rsid w:val="48432633"/>
    <w:rsid w:val="48464EEE"/>
    <w:rsid w:val="485B2B9F"/>
    <w:rsid w:val="488C5703"/>
    <w:rsid w:val="489B441F"/>
    <w:rsid w:val="489C6CCD"/>
    <w:rsid w:val="48BD79DF"/>
    <w:rsid w:val="48C61F7F"/>
    <w:rsid w:val="48E80E75"/>
    <w:rsid w:val="48F33806"/>
    <w:rsid w:val="4923316D"/>
    <w:rsid w:val="493735CA"/>
    <w:rsid w:val="49776457"/>
    <w:rsid w:val="49786A79"/>
    <w:rsid w:val="49833112"/>
    <w:rsid w:val="49845982"/>
    <w:rsid w:val="498808C5"/>
    <w:rsid w:val="49900765"/>
    <w:rsid w:val="49BC2AD2"/>
    <w:rsid w:val="49DC36C6"/>
    <w:rsid w:val="4A0F3B64"/>
    <w:rsid w:val="4A115421"/>
    <w:rsid w:val="4A147CAD"/>
    <w:rsid w:val="4A1C1BB2"/>
    <w:rsid w:val="4A230E9C"/>
    <w:rsid w:val="4AAD1AAA"/>
    <w:rsid w:val="4AD32ED2"/>
    <w:rsid w:val="4AF32B14"/>
    <w:rsid w:val="4B0B73C5"/>
    <w:rsid w:val="4B5965D9"/>
    <w:rsid w:val="4B5D2D6A"/>
    <w:rsid w:val="4BBE07A9"/>
    <w:rsid w:val="4BC83F5A"/>
    <w:rsid w:val="4BF05351"/>
    <w:rsid w:val="4C1C4EEB"/>
    <w:rsid w:val="4C3378A3"/>
    <w:rsid w:val="4C520817"/>
    <w:rsid w:val="4C536B9B"/>
    <w:rsid w:val="4C5F4DE5"/>
    <w:rsid w:val="4CC33F39"/>
    <w:rsid w:val="4CC449E8"/>
    <w:rsid w:val="4D106EE8"/>
    <w:rsid w:val="4D3568D6"/>
    <w:rsid w:val="4D3801F9"/>
    <w:rsid w:val="4D4F7407"/>
    <w:rsid w:val="4D68040B"/>
    <w:rsid w:val="4D92105A"/>
    <w:rsid w:val="4DDF4677"/>
    <w:rsid w:val="4DFB06C4"/>
    <w:rsid w:val="4E0B755F"/>
    <w:rsid w:val="4E140768"/>
    <w:rsid w:val="4E1F5FAE"/>
    <w:rsid w:val="4E5A0EBF"/>
    <w:rsid w:val="4EB2241C"/>
    <w:rsid w:val="4EBE3AB9"/>
    <w:rsid w:val="4ECD3787"/>
    <w:rsid w:val="4EE91E29"/>
    <w:rsid w:val="4EED3AE5"/>
    <w:rsid w:val="4F0B7B2C"/>
    <w:rsid w:val="4F0C1A04"/>
    <w:rsid w:val="4F574A1F"/>
    <w:rsid w:val="4FAC564E"/>
    <w:rsid w:val="4FB657CF"/>
    <w:rsid w:val="4FB83A55"/>
    <w:rsid w:val="4FBD4622"/>
    <w:rsid w:val="4FCD3BE0"/>
    <w:rsid w:val="5000169B"/>
    <w:rsid w:val="502A0494"/>
    <w:rsid w:val="503D4008"/>
    <w:rsid w:val="506628B1"/>
    <w:rsid w:val="507C4370"/>
    <w:rsid w:val="50880263"/>
    <w:rsid w:val="50CA5875"/>
    <w:rsid w:val="50E32FBE"/>
    <w:rsid w:val="50ED2C9E"/>
    <w:rsid w:val="50F8389F"/>
    <w:rsid w:val="50FC066F"/>
    <w:rsid w:val="513A04FE"/>
    <w:rsid w:val="519379EC"/>
    <w:rsid w:val="51CA6CA8"/>
    <w:rsid w:val="51D1640C"/>
    <w:rsid w:val="51E049CE"/>
    <w:rsid w:val="51EF69D9"/>
    <w:rsid w:val="51FE20B1"/>
    <w:rsid w:val="51FF6213"/>
    <w:rsid w:val="52256682"/>
    <w:rsid w:val="523F2580"/>
    <w:rsid w:val="52484F1E"/>
    <w:rsid w:val="524B63FB"/>
    <w:rsid w:val="526B043C"/>
    <w:rsid w:val="527516CF"/>
    <w:rsid w:val="527E5794"/>
    <w:rsid w:val="52BA40AE"/>
    <w:rsid w:val="532421D0"/>
    <w:rsid w:val="53427E21"/>
    <w:rsid w:val="537F7BC2"/>
    <w:rsid w:val="539C08F4"/>
    <w:rsid w:val="53F24348"/>
    <w:rsid w:val="540223EF"/>
    <w:rsid w:val="54977340"/>
    <w:rsid w:val="54B071A5"/>
    <w:rsid w:val="54BC1A9C"/>
    <w:rsid w:val="54D63CB7"/>
    <w:rsid w:val="54D91BC3"/>
    <w:rsid w:val="54ED3BE1"/>
    <w:rsid w:val="54F105B4"/>
    <w:rsid w:val="550F2AFE"/>
    <w:rsid w:val="55143377"/>
    <w:rsid w:val="551A37B8"/>
    <w:rsid w:val="5532006C"/>
    <w:rsid w:val="553E637A"/>
    <w:rsid w:val="55542A4B"/>
    <w:rsid w:val="556109C1"/>
    <w:rsid w:val="55F74922"/>
    <w:rsid w:val="561E13F7"/>
    <w:rsid w:val="56630F70"/>
    <w:rsid w:val="56CF7FE6"/>
    <w:rsid w:val="570E5AC4"/>
    <w:rsid w:val="572200B4"/>
    <w:rsid w:val="5725204A"/>
    <w:rsid w:val="576935E5"/>
    <w:rsid w:val="577B1816"/>
    <w:rsid w:val="57827D45"/>
    <w:rsid w:val="579E7D97"/>
    <w:rsid w:val="57B62251"/>
    <w:rsid w:val="57FD7635"/>
    <w:rsid w:val="588344B2"/>
    <w:rsid w:val="58C33088"/>
    <w:rsid w:val="58D279FF"/>
    <w:rsid w:val="58E67E6E"/>
    <w:rsid w:val="59281B68"/>
    <w:rsid w:val="593C1BC1"/>
    <w:rsid w:val="59886147"/>
    <w:rsid w:val="59E812DD"/>
    <w:rsid w:val="5A04631A"/>
    <w:rsid w:val="5A220C72"/>
    <w:rsid w:val="5A2A45B5"/>
    <w:rsid w:val="5AAB6F68"/>
    <w:rsid w:val="5AAE3F7F"/>
    <w:rsid w:val="5B5018CB"/>
    <w:rsid w:val="5B5038C6"/>
    <w:rsid w:val="5B512986"/>
    <w:rsid w:val="5B8A486C"/>
    <w:rsid w:val="5B913436"/>
    <w:rsid w:val="5BBD60CA"/>
    <w:rsid w:val="5BDC0592"/>
    <w:rsid w:val="5BDE4BB4"/>
    <w:rsid w:val="5BE5625F"/>
    <w:rsid w:val="5C170440"/>
    <w:rsid w:val="5C30095F"/>
    <w:rsid w:val="5C410998"/>
    <w:rsid w:val="5C476721"/>
    <w:rsid w:val="5C723268"/>
    <w:rsid w:val="5CA221FF"/>
    <w:rsid w:val="5CE24C5B"/>
    <w:rsid w:val="5CF13253"/>
    <w:rsid w:val="5CF153AF"/>
    <w:rsid w:val="5D027178"/>
    <w:rsid w:val="5D0D526C"/>
    <w:rsid w:val="5D196B2A"/>
    <w:rsid w:val="5D2E6B55"/>
    <w:rsid w:val="5D57039F"/>
    <w:rsid w:val="5D665C53"/>
    <w:rsid w:val="5D7E053A"/>
    <w:rsid w:val="5D902A78"/>
    <w:rsid w:val="5DA03444"/>
    <w:rsid w:val="5DA15150"/>
    <w:rsid w:val="5DF87801"/>
    <w:rsid w:val="5E346A72"/>
    <w:rsid w:val="5E39590B"/>
    <w:rsid w:val="5E493DD9"/>
    <w:rsid w:val="5E7C6E0C"/>
    <w:rsid w:val="5ED47F29"/>
    <w:rsid w:val="5EDA30DE"/>
    <w:rsid w:val="5EEE1A29"/>
    <w:rsid w:val="5EFD2C15"/>
    <w:rsid w:val="5F030B06"/>
    <w:rsid w:val="5F0339A5"/>
    <w:rsid w:val="5F164982"/>
    <w:rsid w:val="5F16695A"/>
    <w:rsid w:val="5F23024D"/>
    <w:rsid w:val="5F7478AD"/>
    <w:rsid w:val="5F7818B7"/>
    <w:rsid w:val="5F8F4E5B"/>
    <w:rsid w:val="5FB01699"/>
    <w:rsid w:val="5FC24F47"/>
    <w:rsid w:val="600F2D65"/>
    <w:rsid w:val="602A2277"/>
    <w:rsid w:val="602D3985"/>
    <w:rsid w:val="607925DF"/>
    <w:rsid w:val="60810F27"/>
    <w:rsid w:val="609404DE"/>
    <w:rsid w:val="60A55239"/>
    <w:rsid w:val="60D67D3C"/>
    <w:rsid w:val="60D95DDD"/>
    <w:rsid w:val="610F086A"/>
    <w:rsid w:val="6112011F"/>
    <w:rsid w:val="612231D3"/>
    <w:rsid w:val="61396718"/>
    <w:rsid w:val="614818E7"/>
    <w:rsid w:val="616B3751"/>
    <w:rsid w:val="61C87AF3"/>
    <w:rsid w:val="61F568E3"/>
    <w:rsid w:val="62161F18"/>
    <w:rsid w:val="622026E8"/>
    <w:rsid w:val="62220294"/>
    <w:rsid w:val="627C6500"/>
    <w:rsid w:val="629635E2"/>
    <w:rsid w:val="62A77F44"/>
    <w:rsid w:val="62C607A4"/>
    <w:rsid w:val="631A5331"/>
    <w:rsid w:val="638717E4"/>
    <w:rsid w:val="63A32C47"/>
    <w:rsid w:val="63BC5A6A"/>
    <w:rsid w:val="63EF5001"/>
    <w:rsid w:val="640B3218"/>
    <w:rsid w:val="648604E1"/>
    <w:rsid w:val="64974A31"/>
    <w:rsid w:val="649B5EDA"/>
    <w:rsid w:val="64B5425A"/>
    <w:rsid w:val="64B91581"/>
    <w:rsid w:val="64C30E0D"/>
    <w:rsid w:val="64FE76D2"/>
    <w:rsid w:val="65023DB6"/>
    <w:rsid w:val="650575C3"/>
    <w:rsid w:val="65260553"/>
    <w:rsid w:val="652A101E"/>
    <w:rsid w:val="65706B4B"/>
    <w:rsid w:val="658974CD"/>
    <w:rsid w:val="65981879"/>
    <w:rsid w:val="659D12C5"/>
    <w:rsid w:val="659F007D"/>
    <w:rsid w:val="65A935B0"/>
    <w:rsid w:val="65AC753C"/>
    <w:rsid w:val="65B85AA5"/>
    <w:rsid w:val="65B90C7B"/>
    <w:rsid w:val="664D462F"/>
    <w:rsid w:val="66500F07"/>
    <w:rsid w:val="66A31B39"/>
    <w:rsid w:val="66A356E4"/>
    <w:rsid w:val="66B35BA6"/>
    <w:rsid w:val="66B64FC0"/>
    <w:rsid w:val="66E61F81"/>
    <w:rsid w:val="66F83B03"/>
    <w:rsid w:val="67294DD7"/>
    <w:rsid w:val="676234A6"/>
    <w:rsid w:val="6783418D"/>
    <w:rsid w:val="67AB5B72"/>
    <w:rsid w:val="67CB2DC9"/>
    <w:rsid w:val="67E009C2"/>
    <w:rsid w:val="67EC4786"/>
    <w:rsid w:val="6873242F"/>
    <w:rsid w:val="689358A8"/>
    <w:rsid w:val="689B3266"/>
    <w:rsid w:val="689B70A6"/>
    <w:rsid w:val="68A77817"/>
    <w:rsid w:val="68AA2346"/>
    <w:rsid w:val="68D8409E"/>
    <w:rsid w:val="68ED3778"/>
    <w:rsid w:val="69274D1E"/>
    <w:rsid w:val="695875A4"/>
    <w:rsid w:val="69BD39EA"/>
    <w:rsid w:val="6A246EA1"/>
    <w:rsid w:val="6A6B34CC"/>
    <w:rsid w:val="6A782026"/>
    <w:rsid w:val="6A83372C"/>
    <w:rsid w:val="6A9A77CB"/>
    <w:rsid w:val="6AC0624B"/>
    <w:rsid w:val="6B1E24EC"/>
    <w:rsid w:val="6B477C41"/>
    <w:rsid w:val="6B5335AD"/>
    <w:rsid w:val="6B5B4078"/>
    <w:rsid w:val="6B721180"/>
    <w:rsid w:val="6BF3136A"/>
    <w:rsid w:val="6BFA7972"/>
    <w:rsid w:val="6C0B6213"/>
    <w:rsid w:val="6C7A46A7"/>
    <w:rsid w:val="6C987EB1"/>
    <w:rsid w:val="6CDF3027"/>
    <w:rsid w:val="6CE45B54"/>
    <w:rsid w:val="6D065459"/>
    <w:rsid w:val="6D255D08"/>
    <w:rsid w:val="6D2A5033"/>
    <w:rsid w:val="6D2B1752"/>
    <w:rsid w:val="6D494CD7"/>
    <w:rsid w:val="6D5B62B0"/>
    <w:rsid w:val="6D717523"/>
    <w:rsid w:val="6DDA3B81"/>
    <w:rsid w:val="6DF66426"/>
    <w:rsid w:val="6DF90BC7"/>
    <w:rsid w:val="6E0A4B32"/>
    <w:rsid w:val="6E10643B"/>
    <w:rsid w:val="6E392CBE"/>
    <w:rsid w:val="6E481640"/>
    <w:rsid w:val="6E644A55"/>
    <w:rsid w:val="6E662285"/>
    <w:rsid w:val="6E930258"/>
    <w:rsid w:val="6E954078"/>
    <w:rsid w:val="6E9E556C"/>
    <w:rsid w:val="6F175E06"/>
    <w:rsid w:val="6F2321B8"/>
    <w:rsid w:val="6F595000"/>
    <w:rsid w:val="6F624074"/>
    <w:rsid w:val="6F8F7B2A"/>
    <w:rsid w:val="6F991BE6"/>
    <w:rsid w:val="6FB46DAB"/>
    <w:rsid w:val="6FB55E5C"/>
    <w:rsid w:val="70110151"/>
    <w:rsid w:val="70626730"/>
    <w:rsid w:val="706A6D2D"/>
    <w:rsid w:val="70CD7D78"/>
    <w:rsid w:val="70E45017"/>
    <w:rsid w:val="70ED375D"/>
    <w:rsid w:val="710D1C8E"/>
    <w:rsid w:val="711162AB"/>
    <w:rsid w:val="71185B58"/>
    <w:rsid w:val="713C1EFE"/>
    <w:rsid w:val="717C7C61"/>
    <w:rsid w:val="71D105B5"/>
    <w:rsid w:val="71EE2496"/>
    <w:rsid w:val="71F10881"/>
    <w:rsid w:val="71F85B1A"/>
    <w:rsid w:val="72145D0A"/>
    <w:rsid w:val="72783661"/>
    <w:rsid w:val="72B46E07"/>
    <w:rsid w:val="72E62F3F"/>
    <w:rsid w:val="72FF5D91"/>
    <w:rsid w:val="7305470C"/>
    <w:rsid w:val="73206284"/>
    <w:rsid w:val="732517EC"/>
    <w:rsid w:val="736B39AC"/>
    <w:rsid w:val="7372655A"/>
    <w:rsid w:val="737B75B4"/>
    <w:rsid w:val="73BA4EFE"/>
    <w:rsid w:val="73C84CE3"/>
    <w:rsid w:val="73EC1ECC"/>
    <w:rsid w:val="74057627"/>
    <w:rsid w:val="74354017"/>
    <w:rsid w:val="74884795"/>
    <w:rsid w:val="74F2692A"/>
    <w:rsid w:val="757B15FB"/>
    <w:rsid w:val="75A37D43"/>
    <w:rsid w:val="75AF2373"/>
    <w:rsid w:val="75BC2E4C"/>
    <w:rsid w:val="75F41BBB"/>
    <w:rsid w:val="75F55DD7"/>
    <w:rsid w:val="76256B66"/>
    <w:rsid w:val="76412E5D"/>
    <w:rsid w:val="76432FA9"/>
    <w:rsid w:val="767C2A1E"/>
    <w:rsid w:val="767E7D0F"/>
    <w:rsid w:val="7691781F"/>
    <w:rsid w:val="76C37F2F"/>
    <w:rsid w:val="770B680D"/>
    <w:rsid w:val="77437227"/>
    <w:rsid w:val="7746613A"/>
    <w:rsid w:val="775D6768"/>
    <w:rsid w:val="77635561"/>
    <w:rsid w:val="7794548B"/>
    <w:rsid w:val="77C46EC8"/>
    <w:rsid w:val="77D81E93"/>
    <w:rsid w:val="77FC560D"/>
    <w:rsid w:val="780268B7"/>
    <w:rsid w:val="78074F55"/>
    <w:rsid w:val="780E090B"/>
    <w:rsid w:val="784B112C"/>
    <w:rsid w:val="789872D2"/>
    <w:rsid w:val="789D3A19"/>
    <w:rsid w:val="78E558C2"/>
    <w:rsid w:val="791266AE"/>
    <w:rsid w:val="7939207A"/>
    <w:rsid w:val="79566ED7"/>
    <w:rsid w:val="798E3B46"/>
    <w:rsid w:val="799102F3"/>
    <w:rsid w:val="79DB7412"/>
    <w:rsid w:val="79E97473"/>
    <w:rsid w:val="79FE089A"/>
    <w:rsid w:val="7A133B97"/>
    <w:rsid w:val="7A204C9D"/>
    <w:rsid w:val="7A4A1123"/>
    <w:rsid w:val="7A5A7EAF"/>
    <w:rsid w:val="7A661ED7"/>
    <w:rsid w:val="7A6B1F43"/>
    <w:rsid w:val="7A755F02"/>
    <w:rsid w:val="7A7D47F0"/>
    <w:rsid w:val="7A87527B"/>
    <w:rsid w:val="7ACF140A"/>
    <w:rsid w:val="7AD61862"/>
    <w:rsid w:val="7B2D0A2C"/>
    <w:rsid w:val="7B6D79D8"/>
    <w:rsid w:val="7B7E1000"/>
    <w:rsid w:val="7B8C07B9"/>
    <w:rsid w:val="7B92700F"/>
    <w:rsid w:val="7BE65293"/>
    <w:rsid w:val="7BF90CDB"/>
    <w:rsid w:val="7C0554D7"/>
    <w:rsid w:val="7C2946FE"/>
    <w:rsid w:val="7C464FA6"/>
    <w:rsid w:val="7CA126F2"/>
    <w:rsid w:val="7CA87DF0"/>
    <w:rsid w:val="7CDC2652"/>
    <w:rsid w:val="7CE01D97"/>
    <w:rsid w:val="7D343893"/>
    <w:rsid w:val="7D970FD3"/>
    <w:rsid w:val="7DED07F2"/>
    <w:rsid w:val="7E0C32AA"/>
    <w:rsid w:val="7E2B2377"/>
    <w:rsid w:val="7E390766"/>
    <w:rsid w:val="7E512C0C"/>
    <w:rsid w:val="7E7B7503"/>
    <w:rsid w:val="7E7D0A3C"/>
    <w:rsid w:val="7E9C100D"/>
    <w:rsid w:val="7E9D5055"/>
    <w:rsid w:val="7EA41CC7"/>
    <w:rsid w:val="7EB80547"/>
    <w:rsid w:val="7ECC2D35"/>
    <w:rsid w:val="7EF657C6"/>
    <w:rsid w:val="7F254F67"/>
    <w:rsid w:val="7F673BBC"/>
    <w:rsid w:val="7F682D43"/>
    <w:rsid w:val="7F6D7D69"/>
    <w:rsid w:val="7F997A33"/>
    <w:rsid w:val="7F9E08F7"/>
    <w:rsid w:val="7FB23695"/>
    <w:rsid w:val="7FB91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 w:hAnsi="??" w:eastAsia="宋体" w:cs="宋体"/>
      <w:kern w:val="36"/>
      <w:sz w:val="24"/>
      <w:szCs w:val="2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semiHidden/>
    <w:unhideWhenUsed/>
    <w:qFormat/>
    <w:uiPriority w:val="99"/>
    <w:rPr>
      <w:color w:val="000000"/>
      <w:sz w:val="18"/>
      <w:szCs w:val="18"/>
      <w:u w:val="none"/>
    </w:rPr>
  </w:style>
  <w:style w:type="character" w:styleId="14">
    <w:name w:val="Hyperlink"/>
    <w:basedOn w:val="11"/>
    <w:semiHidden/>
    <w:unhideWhenUsed/>
    <w:qFormat/>
    <w:uiPriority w:val="99"/>
    <w:rPr>
      <w:color w:val="000000"/>
      <w:sz w:val="18"/>
      <w:szCs w:val="18"/>
      <w:u w:val="none"/>
    </w:rPr>
  </w:style>
  <w:style w:type="character" w:customStyle="1" w:styleId="15">
    <w:name w:val="页眉 字符"/>
    <w:basedOn w:val="11"/>
    <w:link w:val="7"/>
    <w:semiHidden/>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1 字符"/>
    <w:basedOn w:val="11"/>
    <w:link w:val="2"/>
    <w:qFormat/>
    <w:uiPriority w:val="99"/>
    <w:rPr>
      <w:rFonts w:ascii="??" w:hAnsi="??" w:eastAsia="宋体" w:cs="宋体"/>
      <w:kern w:val="36"/>
      <w:sz w:val="24"/>
      <w:szCs w:val="24"/>
    </w:rPr>
  </w:style>
  <w:style w:type="paragraph" w:customStyle="1" w:styleId="18">
    <w:name w:val="pbj"/>
    <w:basedOn w:val="1"/>
    <w:qFormat/>
    <w:uiPriority w:val="0"/>
    <w:pPr>
      <w:jc w:val="left"/>
    </w:pPr>
    <w:rPr>
      <w:rFonts w:cs="Times New Roman"/>
      <w:kern w:val="0"/>
    </w:rPr>
  </w:style>
  <w:style w:type="character" w:customStyle="1" w:styleId="19">
    <w:name w:val="批注框文本 字符"/>
    <w:basedOn w:val="11"/>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2233</Words>
  <Characters>12733</Characters>
  <Lines>106</Lines>
  <Paragraphs>29</Paragraphs>
  <TotalTime>3</TotalTime>
  <ScaleCrop>false</ScaleCrop>
  <LinksUpToDate>false</LinksUpToDate>
  <CharactersWithSpaces>14937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2020-04-17T03:33:00Z</dcterms:created>
  <dc:creator>admin</dc:creator>
  <cp:lastModifiedBy>Lynn</cp:lastModifiedBy>
  <cp:lastPrinted>2020-04-14T08:26:00Z</cp:lastPrinted>
  <dcterms:modified xsi:type="dcterms:W3CDTF">2020-04-20T01:22:34Z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